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8057" w14:textId="43EFA7D1" w:rsidR="004C0A0E" w:rsidRPr="00410B17" w:rsidRDefault="009F2845" w:rsidP="00003976">
      <w:pPr>
        <w:spacing w:after="0" w:line="360" w:lineRule="auto"/>
        <w:jc w:val="center"/>
        <w:rPr>
          <w:rFonts w:asciiTheme="majorHAnsi" w:hAnsiTheme="majorHAnsi" w:cs="Times New Roman"/>
          <w:b/>
          <w:i/>
          <w:color w:val="000000" w:themeColor="text1"/>
          <w:sz w:val="24"/>
          <w:szCs w:val="24"/>
        </w:rPr>
      </w:pPr>
      <w:r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La “ideologí</w:t>
      </w:r>
      <w:r w:rsidR="00861708"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a de </w:t>
      </w:r>
      <w:r w:rsidR="00AB78E0"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Género</w:t>
      </w:r>
      <w:r w:rsidR="00980EF4"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”</w:t>
      </w:r>
      <w:r w:rsidR="00861708"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y la </w:t>
      </w:r>
      <w:r w:rsidR="000A3C6A"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Relig</w:t>
      </w:r>
      <w:r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ión</w:t>
      </w:r>
    </w:p>
    <w:p w14:paraId="1FB3BC5D" w14:textId="2BB8230E" w:rsidR="00BB1207" w:rsidRPr="00410B17" w:rsidRDefault="00BB1207" w:rsidP="00BB1207">
      <w:pPr>
        <w:spacing w:after="60" w:line="240" w:lineRule="auto"/>
        <w:ind w:right="49"/>
        <w:jc w:val="center"/>
        <w:rPr>
          <w:rFonts w:ascii="Cambria" w:hAnsi="Cambria"/>
        </w:rPr>
      </w:pPr>
      <w:proofErr w:type="gramStart"/>
      <w:r w:rsidRPr="00410B17">
        <w:rPr>
          <w:rFonts w:ascii="Cambria" w:hAnsi="Cambria"/>
          <w:b/>
          <w:i/>
        </w:rPr>
        <w:t>ex</w:t>
      </w:r>
      <w:proofErr w:type="gramEnd"/>
      <w:r w:rsidRPr="00410B17">
        <w:rPr>
          <w:rFonts w:ascii="Cambria" w:hAnsi="Cambria"/>
          <w:b/>
          <w:i/>
        </w:rPr>
        <w:t xml:space="preserve"> </w:t>
      </w:r>
      <w:proofErr w:type="spellStart"/>
      <w:r w:rsidRPr="00410B17">
        <w:rPr>
          <w:rFonts w:ascii="Cambria" w:hAnsi="Cambria"/>
          <w:b/>
          <w:i/>
        </w:rPr>
        <w:t>æquo</w:t>
      </w:r>
      <w:proofErr w:type="spellEnd"/>
      <w:r w:rsidRPr="00410B17">
        <w:rPr>
          <w:rFonts w:ascii="Cambria" w:hAnsi="Cambria"/>
          <w:b/>
          <w:i/>
        </w:rPr>
        <w:t xml:space="preserve"> n</w:t>
      </w:r>
      <w:r w:rsidRPr="00410B17">
        <w:rPr>
          <w:rFonts w:ascii="Cambria" w:hAnsi="Cambria" w:cs="Times New Roman"/>
          <w:b/>
        </w:rPr>
        <w:t xml:space="preserve">.º 37 </w:t>
      </w:r>
    </w:p>
    <w:p w14:paraId="4D4E1014" w14:textId="480BD801" w:rsidR="00BB1207" w:rsidRPr="00410B17" w:rsidRDefault="009F2845" w:rsidP="00BB1207">
      <w:pPr>
        <w:shd w:val="clear" w:color="auto" w:fill="FFFFFF"/>
        <w:spacing w:after="60" w:line="240" w:lineRule="auto"/>
        <w:ind w:right="49"/>
        <w:jc w:val="center"/>
        <w:rPr>
          <w:rFonts w:ascii="Cambria" w:hAnsi="Cambria"/>
        </w:rPr>
      </w:pPr>
      <w:r w:rsidRPr="00410B17">
        <w:rPr>
          <w:rFonts w:ascii="Cambria" w:hAnsi="Cambria"/>
        </w:rPr>
        <w:t>LLAMADA PARA CONTRIBUCIONES / CALL FOR PAPERS</w:t>
      </w:r>
    </w:p>
    <w:p w14:paraId="46CBB65E" w14:textId="358E23F2" w:rsidR="00BB1207" w:rsidRPr="00410B17" w:rsidRDefault="00BB1207" w:rsidP="00BB1207">
      <w:pPr>
        <w:shd w:val="clear" w:color="auto" w:fill="FFFFFF"/>
        <w:spacing w:after="60" w:line="240" w:lineRule="auto"/>
        <w:ind w:right="49"/>
        <w:jc w:val="center"/>
        <w:rPr>
          <w:rFonts w:ascii="Cambria" w:hAnsi="Cambria"/>
          <w:b/>
        </w:rPr>
      </w:pPr>
      <w:r w:rsidRPr="00410B17">
        <w:rPr>
          <w:rFonts w:ascii="Cambria" w:hAnsi="Cambria"/>
          <w:b/>
        </w:rPr>
        <w:t>Dosier: “</w:t>
      </w:r>
      <w:r w:rsidR="009F2845" w:rsidRPr="00410B17">
        <w:rPr>
          <w:rFonts w:ascii="Cambria" w:hAnsi="Cambria"/>
          <w:b/>
        </w:rPr>
        <w:t>La</w:t>
      </w:r>
      <w:r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F474E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‘</w:t>
      </w:r>
      <w:r w:rsidR="009F2845"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ideologí</w:t>
      </w:r>
      <w:r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a de Género</w:t>
      </w:r>
      <w:r w:rsidR="00F474E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’</w:t>
      </w:r>
      <w:r w:rsidR="009F2845" w:rsidRPr="00410B17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y la Religión</w:t>
      </w:r>
      <w:r w:rsidRPr="00410B17">
        <w:rPr>
          <w:rFonts w:ascii="Cambria" w:hAnsi="Cambria"/>
          <w:b/>
          <w:i/>
        </w:rPr>
        <w:t>”</w:t>
      </w:r>
      <w:r w:rsidRPr="00410B17">
        <w:rPr>
          <w:rFonts w:ascii="Cambria" w:hAnsi="Cambria"/>
          <w:b/>
        </w:rPr>
        <w:t>.</w:t>
      </w:r>
    </w:p>
    <w:p w14:paraId="106B6E07" w14:textId="27D48931" w:rsidR="00BB1207" w:rsidRPr="00410B17" w:rsidRDefault="009F2845" w:rsidP="00BB1207">
      <w:pPr>
        <w:shd w:val="clear" w:color="auto" w:fill="FFFFFF"/>
        <w:spacing w:after="60" w:line="240" w:lineRule="auto"/>
        <w:ind w:left="1440" w:right="49" w:hanging="1440"/>
        <w:rPr>
          <w:rFonts w:ascii="Cambria" w:hAnsi="Cambria" w:cs="Times New Roman"/>
        </w:rPr>
      </w:pPr>
      <w:r w:rsidRPr="00410B17">
        <w:rPr>
          <w:rFonts w:ascii="Cambria" w:hAnsi="Cambria" w:cs="Times New Roman"/>
        </w:rPr>
        <w:t xml:space="preserve">Coordinación </w:t>
      </w:r>
      <w:r w:rsidR="00BB1207" w:rsidRPr="00410B17">
        <w:rPr>
          <w:rFonts w:ascii="Cambria" w:hAnsi="Cambria" w:cs="Times New Roman"/>
        </w:rPr>
        <w:t xml:space="preserve">de: </w:t>
      </w:r>
      <w:r w:rsidR="00BB1207" w:rsidRPr="00410B17">
        <w:rPr>
          <w:rFonts w:ascii="Cambria" w:hAnsi="Cambria" w:cs="Times New Roman"/>
        </w:rPr>
        <w:tab/>
      </w:r>
    </w:p>
    <w:p w14:paraId="4B053501" w14:textId="640466CE" w:rsidR="00BB1207" w:rsidRPr="00410B17" w:rsidRDefault="00BB1207" w:rsidP="00BB1207">
      <w:pPr>
        <w:shd w:val="clear" w:color="auto" w:fill="FFFFFF"/>
        <w:spacing w:after="60" w:line="240" w:lineRule="auto"/>
        <w:ind w:left="1440" w:right="49" w:hanging="22"/>
        <w:rPr>
          <w:rFonts w:ascii="Cambria" w:hAnsi="Cambria"/>
        </w:rPr>
      </w:pPr>
      <w:r w:rsidRPr="00410B17">
        <w:rPr>
          <w:rFonts w:ascii="Cambria" w:hAnsi="Cambria" w:cs="Times New Roman"/>
        </w:rPr>
        <w:tab/>
      </w:r>
      <w:r w:rsidRPr="00410B17">
        <w:rPr>
          <w:rFonts w:ascii="Cambria" w:hAnsi="Cambria"/>
          <w:b/>
        </w:rPr>
        <w:t xml:space="preserve">Teresa </w:t>
      </w:r>
      <w:proofErr w:type="spellStart"/>
      <w:r w:rsidRPr="00410B17">
        <w:rPr>
          <w:rFonts w:ascii="Cambria" w:hAnsi="Cambria"/>
          <w:b/>
        </w:rPr>
        <w:t>Toldy</w:t>
      </w:r>
      <w:proofErr w:type="spellEnd"/>
      <w:r w:rsidRPr="00410B17">
        <w:rPr>
          <w:rFonts w:ascii="Cambria" w:hAnsi="Cambria"/>
        </w:rPr>
        <w:t xml:space="preserve"> – </w:t>
      </w:r>
      <w:r w:rsidR="009F2845" w:rsidRPr="00410B17">
        <w:rPr>
          <w:rFonts w:ascii="Cambria" w:hAnsi="Cambria"/>
        </w:rPr>
        <w:t>Universidad</w:t>
      </w:r>
      <w:r w:rsidRPr="00410B17">
        <w:rPr>
          <w:rFonts w:ascii="Cambria" w:hAnsi="Cambria"/>
        </w:rPr>
        <w:t xml:space="preserve"> Fernando Pessoa, Porto/Centro de Estud</w:t>
      </w:r>
      <w:r w:rsidR="009F2845" w:rsidRPr="00410B17">
        <w:rPr>
          <w:rFonts w:ascii="Cambria" w:hAnsi="Cambria"/>
        </w:rPr>
        <w:t>i</w:t>
      </w:r>
      <w:r w:rsidRPr="00410B17">
        <w:rPr>
          <w:rFonts w:ascii="Cambria" w:hAnsi="Cambria"/>
        </w:rPr>
        <w:t>os Socia</w:t>
      </w:r>
      <w:r w:rsidR="009F2845" w:rsidRPr="00410B17">
        <w:rPr>
          <w:rFonts w:ascii="Cambria" w:hAnsi="Cambria"/>
        </w:rPr>
        <w:t>les de la Universidad</w:t>
      </w:r>
      <w:r w:rsidRPr="00410B17">
        <w:rPr>
          <w:rFonts w:ascii="Cambria" w:hAnsi="Cambria"/>
        </w:rPr>
        <w:t xml:space="preserve"> de </w:t>
      </w:r>
      <w:proofErr w:type="spellStart"/>
      <w:r w:rsidRPr="00410B17">
        <w:rPr>
          <w:rFonts w:ascii="Cambria" w:hAnsi="Cambria"/>
        </w:rPr>
        <w:t>Coimbra</w:t>
      </w:r>
      <w:proofErr w:type="spellEnd"/>
    </w:p>
    <w:p w14:paraId="5DC668EA" w14:textId="5FFD6297" w:rsidR="00BB1207" w:rsidRPr="00410B17" w:rsidRDefault="00BB1207" w:rsidP="00BB1207">
      <w:pPr>
        <w:shd w:val="clear" w:color="auto" w:fill="FFFFFF"/>
        <w:spacing w:after="60" w:line="240" w:lineRule="auto"/>
        <w:ind w:left="1440" w:right="49" w:hanging="22"/>
        <w:rPr>
          <w:rFonts w:ascii="Cambria" w:hAnsi="Cambria" w:cs="Times New Roman"/>
          <w:bCs/>
        </w:rPr>
      </w:pPr>
      <w:r w:rsidRPr="00410B17">
        <w:rPr>
          <w:rFonts w:ascii="Cambria" w:hAnsi="Cambria"/>
          <w:b/>
        </w:rPr>
        <w:t xml:space="preserve">Fernanda </w:t>
      </w:r>
      <w:proofErr w:type="spellStart"/>
      <w:r w:rsidRPr="00410B17">
        <w:rPr>
          <w:rFonts w:ascii="Cambria" w:hAnsi="Cambria"/>
          <w:b/>
        </w:rPr>
        <w:t>Henriques</w:t>
      </w:r>
      <w:proofErr w:type="spellEnd"/>
      <w:r w:rsidRPr="00410B17">
        <w:rPr>
          <w:rFonts w:ascii="Cambria" w:hAnsi="Cambria" w:cs="Times New Roman"/>
          <w:b/>
          <w:bCs/>
        </w:rPr>
        <w:t xml:space="preserve"> </w:t>
      </w:r>
      <w:r w:rsidRPr="00410B17">
        <w:rPr>
          <w:rFonts w:ascii="Cambria" w:hAnsi="Cambria" w:cs="Times New Roman"/>
          <w:bCs/>
        </w:rPr>
        <w:t xml:space="preserve">– </w:t>
      </w:r>
      <w:proofErr w:type="spellStart"/>
      <w:r w:rsidRPr="00410B17">
        <w:rPr>
          <w:rFonts w:ascii="Cambria" w:hAnsi="Cambria" w:cs="Times New Roman"/>
          <w:bCs/>
        </w:rPr>
        <w:t>Labcom.IFP</w:t>
      </w:r>
      <w:proofErr w:type="spellEnd"/>
      <w:r w:rsidRPr="00410B17">
        <w:rPr>
          <w:rFonts w:ascii="Cambria" w:hAnsi="Cambria" w:cs="Times New Roman"/>
          <w:bCs/>
        </w:rPr>
        <w:t>/Núcleo d</w:t>
      </w:r>
      <w:r w:rsidR="009F2845" w:rsidRPr="00410B17">
        <w:rPr>
          <w:rFonts w:ascii="Cambria" w:hAnsi="Cambria" w:cs="Times New Roman"/>
          <w:bCs/>
        </w:rPr>
        <w:t xml:space="preserve">e la </w:t>
      </w:r>
      <w:r w:rsidRPr="00410B17">
        <w:rPr>
          <w:rFonts w:ascii="Cambria" w:hAnsi="Cambria" w:cs="Times New Roman"/>
          <w:bCs/>
        </w:rPr>
        <w:t>U</w:t>
      </w:r>
      <w:r w:rsidR="009F2845" w:rsidRPr="00410B17">
        <w:rPr>
          <w:rFonts w:ascii="Cambria" w:hAnsi="Cambria" w:cs="Times New Roman"/>
          <w:bCs/>
        </w:rPr>
        <w:t>niversidad de Évora/Profes</w:t>
      </w:r>
      <w:r w:rsidRPr="00410B17">
        <w:rPr>
          <w:rFonts w:ascii="Cambria" w:hAnsi="Cambria" w:cs="Times New Roman"/>
          <w:bCs/>
        </w:rPr>
        <w:t>ora Emérita d</w:t>
      </w:r>
      <w:r w:rsidR="009F2845" w:rsidRPr="00410B17">
        <w:rPr>
          <w:rFonts w:ascii="Cambria" w:hAnsi="Cambria" w:cs="Times New Roman"/>
          <w:bCs/>
        </w:rPr>
        <w:t>e la Universidad</w:t>
      </w:r>
      <w:r w:rsidRPr="00410B17">
        <w:rPr>
          <w:rFonts w:ascii="Cambria" w:hAnsi="Cambria" w:cs="Times New Roman"/>
          <w:bCs/>
        </w:rPr>
        <w:t xml:space="preserve"> de Évora</w:t>
      </w:r>
    </w:p>
    <w:p w14:paraId="18BFDDBE" w14:textId="70951F02" w:rsidR="00862E5F" w:rsidRPr="00410B17" w:rsidRDefault="00862E5F" w:rsidP="00BB1207">
      <w:pPr>
        <w:shd w:val="clear" w:color="auto" w:fill="FFFFFF"/>
        <w:spacing w:after="60" w:line="240" w:lineRule="auto"/>
        <w:ind w:left="1440" w:right="49" w:hanging="22"/>
        <w:rPr>
          <w:rFonts w:ascii="Cambria" w:hAnsi="Cambria"/>
        </w:rPr>
      </w:pPr>
      <w:r w:rsidRPr="00410B1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Carmen Bernabé</w:t>
      </w:r>
      <w:r w:rsidRPr="00410B17">
        <w:rPr>
          <w:rFonts w:ascii="Cambria" w:hAnsi="Cambria"/>
        </w:rPr>
        <w:t xml:space="preserve"> </w:t>
      </w:r>
      <w:r w:rsidRPr="00410B17">
        <w:rPr>
          <w:rFonts w:ascii="Cambria" w:hAnsi="Cambria" w:cs="Times New Roman"/>
          <w:bCs/>
        </w:rPr>
        <w:t>–</w:t>
      </w:r>
      <w:r w:rsidRPr="00410B17">
        <w:rPr>
          <w:rFonts w:ascii="Cambria" w:hAnsi="Cambria"/>
        </w:rPr>
        <w:t xml:space="preserve"> </w:t>
      </w:r>
      <w:r w:rsidR="009F2845" w:rsidRPr="00410B17">
        <w:rPr>
          <w:rFonts w:ascii="Arial" w:hAnsi="Arial" w:cs="Arial"/>
          <w:color w:val="222222"/>
          <w:sz w:val="19"/>
          <w:szCs w:val="19"/>
          <w:shd w:val="clear" w:color="auto" w:fill="FFFFFF"/>
        </w:rPr>
        <w:t>Universidad</w:t>
      </w:r>
      <w:r w:rsidRPr="00410B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Deusto</w:t>
      </w:r>
    </w:p>
    <w:p w14:paraId="0CC6783C" w14:textId="77777777" w:rsidR="00982A87" w:rsidRPr="00410B17" w:rsidRDefault="00982A87" w:rsidP="00982A87">
      <w:pPr>
        <w:spacing w:after="60" w:line="240" w:lineRule="auto"/>
        <w:ind w:right="49"/>
        <w:jc w:val="center"/>
        <w:rPr>
          <w:rFonts w:ascii="Cambria" w:hAnsi="Cambria" w:cs="Times New Roman"/>
          <w:b/>
        </w:rPr>
      </w:pPr>
    </w:p>
    <w:p w14:paraId="5CB73B63" w14:textId="77777777" w:rsidR="009F2845" w:rsidRPr="00410B17" w:rsidRDefault="009F2845" w:rsidP="00982A87">
      <w:pPr>
        <w:spacing w:after="60" w:line="240" w:lineRule="auto"/>
        <w:ind w:right="49"/>
        <w:jc w:val="center"/>
        <w:rPr>
          <w:rFonts w:ascii="Cambria" w:hAnsi="Cambria" w:cs="Times New Roman"/>
          <w:b/>
        </w:rPr>
      </w:pPr>
      <w:r w:rsidRPr="00410B17">
        <w:rPr>
          <w:rFonts w:ascii="Cambria" w:hAnsi="Cambria" w:cs="Times New Roman"/>
          <w:b/>
        </w:rPr>
        <w:t xml:space="preserve">Fecha para el envío de artículos: 30 de Noviembre de 2017  </w:t>
      </w:r>
    </w:p>
    <w:p w14:paraId="0A2237A8" w14:textId="20083B0F" w:rsidR="009F2845" w:rsidRPr="00410B17" w:rsidRDefault="009F2845" w:rsidP="00982A87">
      <w:pPr>
        <w:spacing w:after="60" w:line="240" w:lineRule="auto"/>
        <w:ind w:right="49"/>
        <w:jc w:val="center"/>
        <w:rPr>
          <w:rFonts w:ascii="Cambria" w:hAnsi="Cambria" w:cs="Times New Roman"/>
          <w:b/>
        </w:rPr>
      </w:pPr>
      <w:r w:rsidRPr="00410B17">
        <w:rPr>
          <w:rFonts w:ascii="Cambria" w:hAnsi="Cambria" w:cs="Times New Roman"/>
          <w:b/>
        </w:rPr>
        <w:t>(</w:t>
      </w:r>
      <w:proofErr w:type="gramStart"/>
      <w:r w:rsidRPr="00410B17">
        <w:rPr>
          <w:rFonts w:ascii="Cambria" w:hAnsi="Cambria" w:cs="Times New Roman"/>
          <w:b/>
        </w:rPr>
        <w:t>a</w:t>
      </w:r>
      <w:proofErr w:type="gramEnd"/>
      <w:r w:rsidRPr="00410B17">
        <w:rPr>
          <w:rFonts w:ascii="Cambria" w:hAnsi="Cambria" w:cs="Times New Roman"/>
          <w:b/>
        </w:rPr>
        <w:t xml:space="preserve"> publicar en </w:t>
      </w:r>
      <w:r w:rsidR="00773409">
        <w:rPr>
          <w:rFonts w:ascii="Cambria" w:hAnsi="Cambria" w:cs="Times New Roman"/>
          <w:b/>
        </w:rPr>
        <w:t>M</w:t>
      </w:r>
      <w:r w:rsidR="005900AA">
        <w:rPr>
          <w:rFonts w:ascii="Cambria" w:hAnsi="Cambria" w:cs="Times New Roman"/>
          <w:b/>
        </w:rPr>
        <w:t>ayo</w:t>
      </w:r>
      <w:r w:rsidRPr="00410B17">
        <w:rPr>
          <w:rFonts w:ascii="Cambria" w:hAnsi="Cambria" w:cs="Times New Roman"/>
          <w:b/>
        </w:rPr>
        <w:t xml:space="preserve"> de 201</w:t>
      </w:r>
      <w:r w:rsidR="005900AA">
        <w:rPr>
          <w:rFonts w:ascii="Cambria" w:hAnsi="Cambria" w:cs="Times New Roman"/>
          <w:b/>
        </w:rPr>
        <w:t>8</w:t>
      </w:r>
      <w:r w:rsidRPr="00410B17">
        <w:rPr>
          <w:rFonts w:ascii="Cambria" w:hAnsi="Cambria" w:cs="Times New Roman"/>
          <w:b/>
        </w:rPr>
        <w:t xml:space="preserve">)  </w:t>
      </w:r>
    </w:p>
    <w:p w14:paraId="10E2DC3C" w14:textId="44543FB1" w:rsidR="00982A87" w:rsidRPr="00410B17" w:rsidRDefault="009F2845" w:rsidP="009F2845">
      <w:pPr>
        <w:spacing w:after="60" w:line="240" w:lineRule="auto"/>
        <w:ind w:right="49"/>
        <w:jc w:val="center"/>
      </w:pPr>
      <w:proofErr w:type="gramStart"/>
      <w:r w:rsidRPr="005900AA">
        <w:rPr>
          <w:rFonts w:ascii="Cambria" w:hAnsi="Cambria" w:cs="Times New Roman"/>
          <w:b/>
          <w:i/>
        </w:rPr>
        <w:t>ex</w:t>
      </w:r>
      <w:proofErr w:type="gramEnd"/>
      <w:r w:rsidRPr="005900AA">
        <w:rPr>
          <w:rFonts w:ascii="Cambria" w:hAnsi="Cambria" w:cs="Times New Roman"/>
          <w:b/>
          <w:i/>
        </w:rPr>
        <w:t xml:space="preserve"> </w:t>
      </w:r>
      <w:proofErr w:type="spellStart"/>
      <w:r w:rsidRPr="005900AA">
        <w:rPr>
          <w:rFonts w:ascii="Cambria" w:hAnsi="Cambria" w:cs="Times New Roman"/>
          <w:b/>
          <w:i/>
        </w:rPr>
        <w:t>æquo</w:t>
      </w:r>
      <w:proofErr w:type="spellEnd"/>
      <w:r w:rsidRPr="00410B17">
        <w:rPr>
          <w:rFonts w:ascii="Cambria" w:hAnsi="Cambria" w:cs="Times New Roman"/>
          <w:b/>
        </w:rPr>
        <w:t xml:space="preserve"> nº 3</w:t>
      </w:r>
      <w:r w:rsidR="005900AA">
        <w:rPr>
          <w:rFonts w:ascii="Cambria" w:hAnsi="Cambria" w:cs="Times New Roman"/>
          <w:b/>
        </w:rPr>
        <w:t>7</w:t>
      </w:r>
    </w:p>
    <w:p w14:paraId="6A279D32" w14:textId="77777777" w:rsidR="00982A87" w:rsidRPr="00410B17" w:rsidRDefault="00982A87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14:paraId="459C171A" w14:textId="65BF953E" w:rsidR="00151AC4" w:rsidRPr="00410B17" w:rsidRDefault="009F2845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La categoría “género” </w:t>
      </w:r>
      <w:r w:rsidR="001A152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es, desde el principio de su utilización, polémica, tanto en el cuadro de los activismos </w:t>
      </w:r>
      <w:r w:rsidR="0069636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feministas, 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como </w:t>
      </w:r>
      <w:r w:rsidR="001A152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en el cuadro del 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contexto de </w:t>
      </w:r>
      <w:r w:rsidR="001A152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los 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001A152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tivismos anti-feministas. </w:t>
      </w:r>
      <w:r w:rsidR="001A152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El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confli</w:t>
      </w:r>
      <w:r w:rsidR="003F0B9D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to entre </w:t>
      </w:r>
      <w:r w:rsidR="001A152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las 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interpreta</w:t>
      </w:r>
      <w:r w:rsidR="001A152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ciones 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sobre </w:t>
      </w:r>
      <w:r w:rsidR="001A152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validad </w:t>
      </w:r>
      <w:r w:rsidR="001A152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 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el 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cará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ter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nefasto 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 la </w:t>
      </w:r>
      <w:r w:rsidR="003F0B9D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categorí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“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género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”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est</w:t>
      </w:r>
      <w:r w:rsidR="003F0B9D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á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tamb</w:t>
      </w:r>
      <w:r w:rsidR="003F0B9D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ié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</w:t>
      </w:r>
      <w:r w:rsidR="00556C8B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presente en la academia</w:t>
      </w:r>
      <w:r w:rsidR="0069636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F0B9D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con interpretaciones que van desde las 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que </w:t>
      </w:r>
      <w:r w:rsidR="003F0B9D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la consideran como una categoría analítica imprescindi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ble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los 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estud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os feministas, </w:t>
      </w:r>
      <w:r w:rsidR="006020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hasta </w:t>
      </w:r>
      <w:r w:rsidR="003F0B9D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las que la entienden como un 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obstáculo para 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al </w:t>
      </w:r>
      <w:r w:rsidR="003F0B9D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desarrollo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de éstos estudios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Las mismas 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teóricas 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del 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género 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tienen 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perspe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tivas 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distintas 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sobre 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el 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sentido 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y la oportunidad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5A208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de esta categorí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</w:t>
      </w:r>
      <w:r w:rsidR="0059071D" w:rsidRPr="00410B17">
        <w:rPr>
          <w:rFonts w:ascii="Cambria" w:hAnsi="Cambria" w:cs="Times New Roman"/>
          <w:color w:val="000000" w:themeColor="text1"/>
          <w:sz w:val="24"/>
          <w:szCs w:val="24"/>
        </w:rPr>
        <w:t>(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  <w:szCs w:val="24"/>
        </w:rPr>
        <w:t>Braidotti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  <w:szCs w:val="24"/>
        </w:rPr>
        <w:t xml:space="preserve"> 2004; </w:t>
      </w:r>
      <w:r w:rsidR="0059071D" w:rsidRPr="00410B17">
        <w:rPr>
          <w:rFonts w:ascii="Cambria" w:eastAsia="DejaVuSerif" w:hAnsi="Cambria" w:cs="Times New Roman"/>
          <w:color w:val="000000" w:themeColor="text1"/>
          <w:sz w:val="24"/>
          <w:szCs w:val="24"/>
        </w:rPr>
        <w:t xml:space="preserve">Butler 1990; Butler </w:t>
      </w:r>
      <w:r w:rsidR="0059071D" w:rsidRPr="00410B17">
        <w:rPr>
          <w:rFonts w:ascii="Cambria" w:eastAsia="DejaVuSerif-Italic" w:hAnsi="Cambria" w:cs="Times New Roman"/>
          <w:i/>
          <w:iCs/>
          <w:color w:val="000000" w:themeColor="text1"/>
          <w:sz w:val="24"/>
          <w:szCs w:val="24"/>
        </w:rPr>
        <w:t xml:space="preserve">et al. </w:t>
      </w:r>
      <w:r w:rsidR="0059071D" w:rsidRPr="00410B17">
        <w:rPr>
          <w:rFonts w:ascii="Cambria" w:eastAsia="DejaVuSerif-Italic" w:hAnsi="Cambria" w:cs="Times New Roman"/>
          <w:iCs/>
          <w:color w:val="000000" w:themeColor="text1"/>
          <w:sz w:val="24"/>
          <w:szCs w:val="24"/>
        </w:rPr>
        <w:t>2007; Scott 2010</w:t>
      </w:r>
      <w:r w:rsidR="0059071D" w:rsidRPr="00410B17">
        <w:rPr>
          <w:rFonts w:ascii="Cambria" w:hAnsi="Cambria" w:cs="Times New Roman"/>
          <w:color w:val="000000" w:themeColor="text1"/>
          <w:sz w:val="24"/>
          <w:szCs w:val="24"/>
        </w:rPr>
        <w:t>)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14:paraId="3516CAB2" w14:textId="0136DD6A" w:rsidR="002D3C1F" w:rsidRPr="00410B17" w:rsidRDefault="005A2083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</w:t>
      </w:r>
      <w:r w:rsidR="0086170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partir de 2013,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la e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xpres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ión </w:t>
      </w:r>
      <w:r w:rsidRPr="00410B17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ideologí</w:t>
      </w:r>
      <w:r w:rsidR="002D3C1F" w:rsidRPr="00410B17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a de género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viene siendo</w:t>
      </w:r>
      <w:r w:rsidRPr="00410B17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rechazada </w:t>
      </w:r>
      <w:r w:rsidR="003B639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sobre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to</w:t>
      </w:r>
      <w:r w:rsidR="003B639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do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en los discursos de la </w:t>
      </w:r>
      <w:r w:rsidR="0086170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Ig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</w:t>
      </w:r>
      <w:r w:rsidR="0086170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sia </w:t>
      </w:r>
      <w:r w:rsidR="0086170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Católica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que la presentan como siendo una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perspe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tiva negativa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sobre la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natura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leza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humana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en el femenino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nefasta para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las mujeres y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en cierta medida, contra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ria a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un saludable punto de vista cristiano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pero también como siendo un concepto sin controve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rsia </w:t>
      </w:r>
      <w:r w:rsidR="00755A2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como si el no contuviera un amplio abanico de 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perspe</w:t>
      </w:r>
      <w:r w:rsidR="00755A2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tivas (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  <w:szCs w:val="24"/>
        </w:rPr>
        <w:t>Favier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  <w:szCs w:val="24"/>
        </w:rPr>
        <w:t xml:space="preserve"> 2012; 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  <w:szCs w:val="24"/>
        </w:rPr>
        <w:t>Ruether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  <w:szCs w:val="24"/>
        </w:rPr>
        <w:t xml:space="preserve"> 2008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14:paraId="0C4FC698" w14:textId="3E034A6A" w:rsidR="002D3C1F" w:rsidRPr="00410B17" w:rsidRDefault="00BE501E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Siendo así, estos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discursos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por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un lado, parecen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derivar 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un 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descon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ocimiento de las 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polémicas teóricas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sobre la c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uestión de la 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natur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aleza 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humana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en el feme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nino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y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el 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conce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pto de género y</w:t>
      </w:r>
      <w:r w:rsidR="00BE40F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,</w:t>
      </w:r>
      <w:r w:rsidR="00CB4EB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por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otro lado,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revela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n, por su vez, una “ideologí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de género”,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 decir: los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discurso</w:t>
      </w:r>
      <w:r w:rsidR="00FA2B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s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 los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documentos oficia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les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 la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IC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son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ellos mismos,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reveladores de u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 posi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ción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ideológica </w:t>
      </w:r>
      <w:r w:rsidR="00FE68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 poder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hacia las mujeres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– u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 perspe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tiva constru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da que reivindica corresponder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la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“es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ncia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de la mujer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”, definida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según un plan </w:t>
      </w:r>
      <w:r w:rsidR="002D3C1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transcendente inalter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able</w:t>
      </w:r>
      <w:r w:rsidR="00FE68C6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</w:rPr>
        <w:t>Graff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</w:rPr>
        <w:t xml:space="preserve"> 2016; 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</w:rPr>
        <w:t>Bracke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</w:rPr>
        <w:t xml:space="preserve"> 2016; 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</w:rPr>
        <w:t>Perintfalvi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</w:rPr>
        <w:t xml:space="preserve"> 2016</w:t>
      </w:r>
      <w:r w:rsidR="000813F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).</w:t>
      </w:r>
    </w:p>
    <w:p w14:paraId="712ECF0C" w14:textId="4BC9FA68" w:rsidR="004F1D7F" w:rsidRPr="00410B17" w:rsidRDefault="008571E3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Esta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posición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d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 l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IC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ya h</w:t>
      </w:r>
      <w:r w:rsidR="00410B17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ultrapasado el </w:t>
      </w:r>
      <w:r w:rsidR="00410B17">
        <w:rPr>
          <w:rFonts w:asciiTheme="majorHAnsi" w:hAnsiTheme="majorHAnsi" w:cs="Times New Roman"/>
          <w:color w:val="000000" w:themeColor="text1"/>
          <w:sz w:val="24"/>
          <w:szCs w:val="24"/>
        </w:rPr>
        <w:t>á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mbito religiosos y confesional restri</w:t>
      </w:r>
      <w:r w:rsidR="00410B17">
        <w:rPr>
          <w:rFonts w:asciiTheme="majorHAnsi" w:hAnsiTheme="majorHAnsi" w:cs="Times New Roman"/>
          <w:color w:val="000000" w:themeColor="text1"/>
          <w:sz w:val="24"/>
          <w:szCs w:val="24"/>
        </w:rPr>
        <w:t>c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to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410B17">
        <w:rPr>
          <w:rFonts w:asciiTheme="majorHAnsi" w:hAnsiTheme="majorHAnsi" w:cs="Times New Roman"/>
          <w:color w:val="000000" w:themeColor="text1"/>
          <w:sz w:val="24"/>
          <w:szCs w:val="24"/>
        </w:rPr>
        <w:t>una vez que viene siendo veh</w:t>
      </w:r>
      <w:r w:rsidR="00410B17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iculada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por medio de los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documentos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del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Vaticano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 de las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Confer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encias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Episcopa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les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de </w:t>
      </w:r>
      <w:r w:rsidR="00410B17">
        <w:rPr>
          <w:rFonts w:asciiTheme="majorHAnsi" w:hAnsiTheme="majorHAnsi" w:cs="Times New Roman"/>
          <w:color w:val="000000" w:themeColor="text1"/>
          <w:sz w:val="24"/>
          <w:szCs w:val="24"/>
        </w:rPr>
        <w:t>diferentes paí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ses,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sino también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por grupos que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han hecho de la “cri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tica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 la ideologí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de género” (identificada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como un reconocimiento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 que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el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género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 constru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cción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social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del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sexo) u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 milit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ncia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con </w:t>
      </w:r>
      <w:r w:rsidR="007C4049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ha logrado </w:t>
      </w:r>
      <w:r w:rsidR="007C4049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 xml:space="preserve">interferir </w:t>
      </w:r>
      <w:r w:rsidR="003E60B5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en la educación </w:t>
      </w:r>
      <w:r w:rsidR="00FE265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(</w:t>
      </w:r>
      <w:r w:rsidR="007C4049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un ejemplo de esto es </w:t>
      </w:r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“Do </w:t>
      </w:r>
      <w:proofErr w:type="spellStart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not</w:t>
      </w:r>
      <w:proofErr w:type="spellEnd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mess</w:t>
      </w:r>
      <w:proofErr w:type="spellEnd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with</w:t>
      </w:r>
      <w:proofErr w:type="spellEnd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my</w:t>
      </w:r>
      <w:proofErr w:type="spellEnd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kids</w:t>
      </w:r>
      <w:proofErr w:type="spellEnd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: No to </w:t>
      </w:r>
      <w:proofErr w:type="spellStart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gender</w:t>
      </w:r>
      <w:proofErr w:type="spellEnd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ideology</w:t>
      </w:r>
      <w:proofErr w:type="spellEnd"/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”, dispon</w:t>
      </w:r>
      <w:r w:rsidR="007C4049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ible</w:t>
      </w:r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e</w:t>
      </w:r>
      <w:r w:rsidR="007C4049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</w:t>
      </w:r>
      <w:r w:rsidR="008C181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FE265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https://www.dejusticia.org/en/do-not-mess-with-my-kids-no-to-gender-ideology/</w:t>
      </w:r>
      <w:r w:rsidR="0093085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. </w:t>
      </w:r>
    </w:p>
    <w:p w14:paraId="04C94869" w14:textId="3EB15A3E" w:rsidR="007119CF" w:rsidRPr="00410B17" w:rsidRDefault="007C4049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</w:t>
      </w:r>
      <w:r w:rsidR="008571E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or todas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</w:t>
      </w:r>
      <w:r w:rsidR="008571E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as raz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ones que se han </w:t>
      </w:r>
      <w:r w:rsidR="00AE69AC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planteado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importa </w:t>
      </w:r>
      <w:r w:rsidR="00AE69AC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poner de manifiesto el </w:t>
      </w:r>
      <w:r w:rsidR="008571E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logro </w:t>
      </w:r>
      <w:r w:rsidR="001E77C9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en el que se bas</w:t>
      </w:r>
      <w:r w:rsidR="00AE69AC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la </w:t>
      </w:r>
      <w:r w:rsidR="008571E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expres</w:t>
      </w:r>
      <w:r w:rsidR="00AE69AC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ión “ideologí</w:t>
      </w:r>
      <w:r w:rsidR="008571E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de género”, </w:t>
      </w:r>
      <w:r w:rsidR="00AE69AC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ya que</w:t>
      </w:r>
      <w:r w:rsidR="008571E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, p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or 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o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tro lado, 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el abordaje de la cuestión del </w:t>
      </w:r>
      <w:r w:rsidR="00151AC4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“género”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viene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adquiri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endo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u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na releva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ncia cada vez 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mayor en el cuadro de los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movim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entos feministas de 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distintas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religi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ones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incluyendo las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religi</w:t>
      </w:r>
      <w:r w:rsidR="001E710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ones monoteístas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</w:p>
    <w:p w14:paraId="38EB8C88" w14:textId="29EA2DE4" w:rsidR="0069636F" w:rsidRPr="00410B17" w:rsidRDefault="001E77C9" w:rsidP="00982A87">
      <w:pPr>
        <w:spacing w:before="120"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Teniendo en cuenta que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mismo en los estados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laicos,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las simbologí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as religiosas 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desem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peña</w:t>
      </w:r>
      <w:r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 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un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papel 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fundamental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para 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el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estabelecim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ento de u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n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 representa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ción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antropológica simétrica de mu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jeres y de hombres </w:t>
      </w:r>
      <w:r w:rsidR="008571E3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(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</w:rPr>
        <w:t>Toldy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</w:rPr>
        <w:t xml:space="preserve"> 2010; 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</w:rPr>
        <w:t>Henriques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</w:rPr>
        <w:t xml:space="preserve"> 2011; 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</w:rPr>
        <w:t>Henriques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</w:rPr>
        <w:t xml:space="preserve"> e 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</w:rPr>
        <w:t>Toldy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</w:rPr>
        <w:t xml:space="preserve"> 2012; </w:t>
      </w:r>
      <w:proofErr w:type="spellStart"/>
      <w:r w:rsidR="0059071D" w:rsidRPr="00410B17">
        <w:rPr>
          <w:rFonts w:ascii="Cambria" w:hAnsi="Cambria" w:cs="Times New Roman"/>
          <w:color w:val="000000" w:themeColor="text1"/>
          <w:sz w:val="24"/>
        </w:rPr>
        <w:t>Toldy</w:t>
      </w:r>
      <w:proofErr w:type="spellEnd"/>
      <w:r w:rsidR="0059071D" w:rsidRPr="00410B17">
        <w:rPr>
          <w:rFonts w:ascii="Cambria" w:hAnsi="Cambria" w:cs="Times New Roman"/>
          <w:color w:val="000000" w:themeColor="text1"/>
          <w:sz w:val="24"/>
        </w:rPr>
        <w:t xml:space="preserve"> e Santos 2014</w:t>
      </w:r>
      <w:r w:rsidR="003B6392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)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, 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 en absoluto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relevante 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plantear la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problemática de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l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género tamb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>ién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d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esde el punto de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vista </w:t>
      </w:r>
      <w:r w:rsidR="00F234A8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de los </w:t>
      </w:r>
      <w:r w:rsidR="007119CF" w:rsidRPr="00410B17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discursos religiosos. </w:t>
      </w:r>
    </w:p>
    <w:p w14:paraId="019B0E10" w14:textId="40F77129" w:rsidR="00801CCD" w:rsidRPr="00410B17" w:rsidRDefault="001510A7" w:rsidP="00801CC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0B17">
        <w:rPr>
          <w:rFonts w:asciiTheme="majorHAnsi" w:hAnsiTheme="majorHAnsi" w:cs="Times New Roman"/>
          <w:sz w:val="24"/>
          <w:szCs w:val="24"/>
        </w:rPr>
        <w:t>Para e</w:t>
      </w:r>
      <w:r w:rsidR="00801CCD" w:rsidRPr="00410B17">
        <w:rPr>
          <w:rFonts w:asciiTheme="majorHAnsi" w:hAnsiTheme="majorHAnsi" w:cs="Times New Roman"/>
          <w:sz w:val="24"/>
          <w:szCs w:val="24"/>
        </w:rPr>
        <w:t xml:space="preserve">ste número </w:t>
      </w:r>
      <w:r w:rsidR="00F234A8" w:rsidRPr="00410B17">
        <w:rPr>
          <w:rFonts w:asciiTheme="majorHAnsi" w:hAnsiTheme="majorHAnsi" w:cs="Times New Roman"/>
          <w:sz w:val="24"/>
          <w:szCs w:val="24"/>
        </w:rPr>
        <w:t xml:space="preserve">de la </w:t>
      </w:r>
      <w:r w:rsidR="00801CCD" w:rsidRPr="00410B17">
        <w:rPr>
          <w:rFonts w:asciiTheme="majorHAnsi" w:hAnsiTheme="majorHAnsi" w:cs="Times New Roman"/>
          <w:sz w:val="24"/>
          <w:szCs w:val="24"/>
        </w:rPr>
        <w:t xml:space="preserve">Revista </w:t>
      </w:r>
      <w:r w:rsidR="00801CCD" w:rsidRPr="00410B17">
        <w:rPr>
          <w:rFonts w:asciiTheme="majorHAnsi" w:hAnsiTheme="majorHAnsi" w:cs="Times New Roman"/>
          <w:b/>
          <w:i/>
          <w:sz w:val="24"/>
          <w:szCs w:val="24"/>
        </w:rPr>
        <w:t xml:space="preserve">ex </w:t>
      </w:r>
      <w:proofErr w:type="spellStart"/>
      <w:r w:rsidR="00801CCD" w:rsidRPr="00410B17">
        <w:rPr>
          <w:rFonts w:asciiTheme="majorHAnsi" w:hAnsiTheme="majorHAnsi" w:cs="Times New Roman"/>
          <w:b/>
          <w:i/>
          <w:sz w:val="24"/>
          <w:szCs w:val="24"/>
        </w:rPr>
        <w:t>æquo</w:t>
      </w:r>
      <w:proofErr w:type="spellEnd"/>
      <w:r w:rsidR="00801CCD" w:rsidRPr="00410B1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410B17">
        <w:rPr>
          <w:rFonts w:asciiTheme="majorHAnsi" w:hAnsiTheme="majorHAnsi" w:cs="Times New Roman"/>
          <w:sz w:val="24"/>
          <w:szCs w:val="24"/>
        </w:rPr>
        <w:t xml:space="preserve">se </w:t>
      </w:r>
      <w:r w:rsidR="00410B17" w:rsidRPr="00410B17">
        <w:rPr>
          <w:rFonts w:asciiTheme="majorHAnsi" w:hAnsiTheme="majorHAnsi" w:cs="Times New Roman"/>
          <w:sz w:val="24"/>
          <w:szCs w:val="24"/>
        </w:rPr>
        <w:t>pretenden</w:t>
      </w:r>
      <w:r w:rsidRPr="00410B1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01CCD" w:rsidRPr="00410B17">
        <w:rPr>
          <w:rFonts w:asciiTheme="majorHAnsi" w:hAnsiTheme="majorHAnsi" w:cs="Times New Roman"/>
          <w:sz w:val="24"/>
          <w:szCs w:val="24"/>
        </w:rPr>
        <w:t>prop</w:t>
      </w:r>
      <w:r w:rsidRPr="00410B17">
        <w:rPr>
          <w:rFonts w:asciiTheme="majorHAnsi" w:hAnsiTheme="majorHAnsi" w:cs="Times New Roman"/>
          <w:sz w:val="24"/>
          <w:szCs w:val="24"/>
        </w:rPr>
        <w:t xml:space="preserve">uestas </w:t>
      </w:r>
      <w:r w:rsidR="00801CCD" w:rsidRPr="00410B17">
        <w:rPr>
          <w:rFonts w:asciiTheme="majorHAnsi" w:hAnsiTheme="majorHAnsi" w:cs="Times New Roman"/>
          <w:sz w:val="24"/>
          <w:szCs w:val="24"/>
        </w:rPr>
        <w:t>de art</w:t>
      </w:r>
      <w:r w:rsidRPr="00410B17">
        <w:rPr>
          <w:rFonts w:asciiTheme="majorHAnsi" w:hAnsiTheme="majorHAnsi" w:cs="Times New Roman"/>
          <w:sz w:val="24"/>
          <w:szCs w:val="24"/>
        </w:rPr>
        <w:t xml:space="preserve">ículos </w:t>
      </w:r>
      <w:r w:rsidR="00801CCD" w:rsidRPr="00410B17">
        <w:rPr>
          <w:rFonts w:asciiTheme="majorHAnsi" w:hAnsiTheme="majorHAnsi" w:cs="Times New Roman"/>
          <w:sz w:val="24"/>
          <w:szCs w:val="24"/>
        </w:rPr>
        <w:t>que contribu</w:t>
      </w:r>
      <w:r w:rsidRPr="00410B17">
        <w:rPr>
          <w:rFonts w:asciiTheme="majorHAnsi" w:hAnsiTheme="majorHAnsi" w:cs="Times New Roman"/>
          <w:sz w:val="24"/>
          <w:szCs w:val="24"/>
        </w:rPr>
        <w:t>yan para:</w:t>
      </w:r>
    </w:p>
    <w:p w14:paraId="34771A62" w14:textId="4FD5FBEA" w:rsidR="00801CCD" w:rsidRPr="00410B17" w:rsidRDefault="00801CCD" w:rsidP="00BF67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0B17">
        <w:rPr>
          <w:rFonts w:asciiTheme="majorHAnsi" w:hAnsiTheme="majorHAnsi" w:cs="Times New Roman"/>
          <w:sz w:val="24"/>
          <w:szCs w:val="24"/>
        </w:rPr>
        <w:t xml:space="preserve">esclarecer </w:t>
      </w:r>
      <w:r w:rsidR="001510A7" w:rsidRPr="00410B17">
        <w:rPr>
          <w:rFonts w:asciiTheme="majorHAnsi" w:hAnsiTheme="majorHAnsi" w:cs="Times New Roman"/>
          <w:sz w:val="24"/>
          <w:szCs w:val="24"/>
        </w:rPr>
        <w:t>l</w:t>
      </w:r>
      <w:r w:rsidRPr="00410B17">
        <w:rPr>
          <w:rFonts w:asciiTheme="majorHAnsi" w:hAnsiTheme="majorHAnsi" w:cs="Times New Roman"/>
          <w:sz w:val="24"/>
          <w:szCs w:val="24"/>
        </w:rPr>
        <w:t>a expres</w:t>
      </w:r>
      <w:r w:rsidR="001510A7" w:rsidRPr="00410B17">
        <w:rPr>
          <w:rFonts w:asciiTheme="majorHAnsi" w:hAnsiTheme="majorHAnsi" w:cs="Times New Roman"/>
          <w:sz w:val="24"/>
          <w:szCs w:val="24"/>
        </w:rPr>
        <w:t>ión “ideologí</w:t>
      </w:r>
      <w:r w:rsidRPr="00410B17">
        <w:rPr>
          <w:rFonts w:asciiTheme="majorHAnsi" w:hAnsiTheme="majorHAnsi" w:cs="Times New Roman"/>
          <w:sz w:val="24"/>
          <w:szCs w:val="24"/>
        </w:rPr>
        <w:t xml:space="preserve">a de género”,  </w:t>
      </w:r>
      <w:r w:rsidR="00CF0F4E" w:rsidRPr="00410B17">
        <w:rPr>
          <w:rFonts w:asciiTheme="majorHAnsi" w:hAnsiTheme="majorHAnsi" w:cs="Times New Roman"/>
          <w:sz w:val="24"/>
          <w:szCs w:val="24"/>
        </w:rPr>
        <w:t>des</w:t>
      </w:r>
      <w:r w:rsidR="00410B17">
        <w:rPr>
          <w:rFonts w:asciiTheme="majorHAnsi" w:hAnsiTheme="majorHAnsi" w:cs="Times New Roman"/>
          <w:sz w:val="24"/>
          <w:szCs w:val="24"/>
        </w:rPr>
        <w:t xml:space="preserve"> </w:t>
      </w:r>
      <w:r w:rsidR="00CF0F4E" w:rsidRPr="00410B17">
        <w:rPr>
          <w:rFonts w:asciiTheme="majorHAnsi" w:hAnsiTheme="majorHAnsi" w:cs="Times New Roman"/>
          <w:sz w:val="24"/>
          <w:szCs w:val="24"/>
        </w:rPr>
        <w:t>construyendo</w:t>
      </w:r>
      <w:r w:rsidR="001510A7" w:rsidRPr="00410B17">
        <w:rPr>
          <w:rFonts w:asciiTheme="majorHAnsi" w:hAnsiTheme="majorHAnsi" w:cs="Times New Roman"/>
          <w:sz w:val="24"/>
          <w:szCs w:val="24"/>
        </w:rPr>
        <w:t xml:space="preserve"> l</w:t>
      </w:r>
      <w:r w:rsidR="00CF0F4E" w:rsidRPr="00410B17">
        <w:rPr>
          <w:rFonts w:asciiTheme="majorHAnsi" w:hAnsiTheme="majorHAnsi" w:cs="Times New Roman"/>
          <w:sz w:val="24"/>
          <w:szCs w:val="24"/>
        </w:rPr>
        <w:t xml:space="preserve">as bases teóricas que apoyan </w:t>
      </w:r>
      <w:r w:rsidR="00410B17">
        <w:rPr>
          <w:rFonts w:asciiTheme="majorHAnsi" w:hAnsiTheme="majorHAnsi" w:cs="Times New Roman"/>
          <w:sz w:val="24"/>
          <w:szCs w:val="24"/>
        </w:rPr>
        <w:t xml:space="preserve">el </w:t>
      </w:r>
      <w:r w:rsidRPr="00410B17">
        <w:rPr>
          <w:rFonts w:asciiTheme="majorHAnsi" w:hAnsiTheme="majorHAnsi" w:cs="Times New Roman"/>
          <w:sz w:val="24"/>
          <w:szCs w:val="24"/>
        </w:rPr>
        <w:t>uso</w:t>
      </w:r>
      <w:r w:rsidR="00410B17">
        <w:rPr>
          <w:rFonts w:asciiTheme="majorHAnsi" w:hAnsiTheme="majorHAnsi" w:cs="Times New Roman"/>
          <w:sz w:val="24"/>
          <w:szCs w:val="24"/>
        </w:rPr>
        <w:t xml:space="preserve"> de esta expresión</w:t>
      </w:r>
      <w:r w:rsidR="00CF0F4E" w:rsidRPr="00410B17">
        <w:rPr>
          <w:rFonts w:asciiTheme="majorHAnsi" w:hAnsiTheme="majorHAnsi" w:cs="Times New Roman"/>
          <w:sz w:val="24"/>
          <w:szCs w:val="24"/>
        </w:rPr>
        <w:t>;</w:t>
      </w:r>
    </w:p>
    <w:p w14:paraId="0D8E0627" w14:textId="0962ABD3" w:rsidR="00CF0F4E" w:rsidRPr="00410B17" w:rsidRDefault="00801CCD" w:rsidP="00BF67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0B17">
        <w:rPr>
          <w:rFonts w:asciiTheme="majorHAnsi" w:hAnsiTheme="majorHAnsi" w:cs="Times New Roman"/>
          <w:sz w:val="24"/>
          <w:szCs w:val="24"/>
        </w:rPr>
        <w:t xml:space="preserve">constituir </w:t>
      </w:r>
      <w:r w:rsidR="00CF0F4E" w:rsidRPr="00410B17">
        <w:rPr>
          <w:rFonts w:asciiTheme="majorHAnsi" w:hAnsiTheme="majorHAnsi" w:cs="Times New Roman"/>
          <w:sz w:val="24"/>
          <w:szCs w:val="24"/>
        </w:rPr>
        <w:t xml:space="preserve">un cuadro </w:t>
      </w:r>
      <w:r w:rsidRPr="00410B17">
        <w:rPr>
          <w:rFonts w:asciiTheme="majorHAnsi" w:hAnsiTheme="majorHAnsi" w:cs="Times New Roman"/>
          <w:sz w:val="24"/>
          <w:szCs w:val="24"/>
        </w:rPr>
        <w:t xml:space="preserve">teórico que </w:t>
      </w:r>
      <w:r w:rsidR="00CF0F4E" w:rsidRPr="00410B17">
        <w:rPr>
          <w:rFonts w:asciiTheme="majorHAnsi" w:hAnsiTheme="majorHAnsi" w:cs="Times New Roman"/>
          <w:sz w:val="24"/>
          <w:szCs w:val="24"/>
        </w:rPr>
        <w:t xml:space="preserve">aborde la </w:t>
      </w:r>
      <w:r w:rsidR="00410B17" w:rsidRPr="00410B17">
        <w:rPr>
          <w:rFonts w:asciiTheme="majorHAnsi" w:hAnsiTheme="majorHAnsi" w:cs="Times New Roman"/>
          <w:sz w:val="24"/>
          <w:szCs w:val="24"/>
        </w:rPr>
        <w:t>categoría</w:t>
      </w:r>
      <w:r w:rsidR="00CF0F4E" w:rsidRPr="00410B17">
        <w:rPr>
          <w:rFonts w:asciiTheme="majorHAnsi" w:hAnsiTheme="majorHAnsi" w:cs="Times New Roman"/>
          <w:sz w:val="24"/>
          <w:szCs w:val="24"/>
        </w:rPr>
        <w:t xml:space="preserve"> de “género” desde distintas </w:t>
      </w:r>
      <w:r w:rsidRPr="00410B17">
        <w:rPr>
          <w:rFonts w:asciiTheme="majorHAnsi" w:hAnsiTheme="majorHAnsi" w:cs="Times New Roman"/>
          <w:sz w:val="24"/>
          <w:szCs w:val="24"/>
        </w:rPr>
        <w:t>perspe</w:t>
      </w:r>
      <w:r w:rsidR="00CF0F4E" w:rsidRPr="00410B17">
        <w:rPr>
          <w:rFonts w:asciiTheme="majorHAnsi" w:hAnsiTheme="majorHAnsi" w:cs="Times New Roman"/>
          <w:sz w:val="24"/>
          <w:szCs w:val="24"/>
        </w:rPr>
        <w:t>c</w:t>
      </w:r>
      <w:r w:rsidRPr="00410B17">
        <w:rPr>
          <w:rFonts w:asciiTheme="majorHAnsi" w:hAnsiTheme="majorHAnsi" w:cs="Times New Roman"/>
          <w:sz w:val="24"/>
          <w:szCs w:val="24"/>
        </w:rPr>
        <w:t>tivas</w:t>
      </w:r>
      <w:r w:rsidR="00CF0F4E" w:rsidRPr="00410B17">
        <w:rPr>
          <w:rFonts w:asciiTheme="majorHAnsi" w:hAnsiTheme="majorHAnsi" w:cs="Times New Roman"/>
          <w:sz w:val="24"/>
          <w:szCs w:val="24"/>
        </w:rPr>
        <w:t>;</w:t>
      </w:r>
    </w:p>
    <w:p w14:paraId="10CAF3FC" w14:textId="7A10F443" w:rsidR="00801CCD" w:rsidRPr="00410B17" w:rsidRDefault="00801CCD" w:rsidP="00353D7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0B17">
        <w:rPr>
          <w:rFonts w:asciiTheme="majorHAnsi" w:hAnsiTheme="majorHAnsi" w:cs="Times New Roman"/>
          <w:sz w:val="24"/>
          <w:szCs w:val="24"/>
        </w:rPr>
        <w:t xml:space="preserve"> cruzar</w:t>
      </w:r>
      <w:r w:rsidR="00CF0F4E" w:rsidRPr="00410B17">
        <w:rPr>
          <w:rFonts w:asciiTheme="majorHAnsi" w:hAnsiTheme="majorHAnsi" w:cs="Times New Roman"/>
          <w:sz w:val="24"/>
          <w:szCs w:val="24"/>
        </w:rPr>
        <w:t>,</w:t>
      </w:r>
      <w:r w:rsidRPr="00410B17">
        <w:rPr>
          <w:rFonts w:asciiTheme="majorHAnsi" w:hAnsiTheme="majorHAnsi" w:cs="Times New Roman"/>
          <w:sz w:val="24"/>
          <w:szCs w:val="24"/>
        </w:rPr>
        <w:t xml:space="preserve"> </w:t>
      </w:r>
      <w:r w:rsidR="00CF0F4E" w:rsidRPr="00410B17">
        <w:rPr>
          <w:rFonts w:asciiTheme="majorHAnsi" w:hAnsiTheme="majorHAnsi" w:cs="Times New Roman"/>
          <w:sz w:val="24"/>
          <w:szCs w:val="24"/>
        </w:rPr>
        <w:t xml:space="preserve">desde una mirada crítica, las cuestiones </w:t>
      </w:r>
      <w:r w:rsidRPr="00410B17">
        <w:rPr>
          <w:rFonts w:asciiTheme="majorHAnsi" w:hAnsiTheme="majorHAnsi" w:cs="Times New Roman"/>
          <w:sz w:val="24"/>
          <w:szCs w:val="24"/>
        </w:rPr>
        <w:t>de “género” co</w:t>
      </w:r>
      <w:r w:rsidR="00CF0F4E" w:rsidRPr="00410B17">
        <w:rPr>
          <w:rFonts w:asciiTheme="majorHAnsi" w:hAnsiTheme="majorHAnsi" w:cs="Times New Roman"/>
          <w:sz w:val="24"/>
          <w:szCs w:val="24"/>
        </w:rPr>
        <w:t>n</w:t>
      </w:r>
      <w:r w:rsidRPr="00410B17">
        <w:rPr>
          <w:rFonts w:asciiTheme="majorHAnsi" w:hAnsiTheme="majorHAnsi" w:cs="Times New Roman"/>
          <w:sz w:val="24"/>
          <w:szCs w:val="24"/>
        </w:rPr>
        <w:t xml:space="preserve"> </w:t>
      </w:r>
      <w:r w:rsidR="00CF0F4E" w:rsidRPr="00410B17">
        <w:rPr>
          <w:rFonts w:asciiTheme="majorHAnsi" w:hAnsiTheme="majorHAnsi" w:cs="Times New Roman"/>
          <w:sz w:val="24"/>
          <w:szCs w:val="24"/>
        </w:rPr>
        <w:t>l</w:t>
      </w:r>
      <w:r w:rsidRPr="00410B17">
        <w:rPr>
          <w:rFonts w:asciiTheme="majorHAnsi" w:hAnsiTheme="majorHAnsi" w:cs="Times New Roman"/>
          <w:sz w:val="24"/>
          <w:szCs w:val="24"/>
        </w:rPr>
        <w:t xml:space="preserve">a </w:t>
      </w:r>
      <w:r w:rsidR="00CF0F4E" w:rsidRPr="00410B17">
        <w:rPr>
          <w:rFonts w:asciiTheme="majorHAnsi" w:hAnsiTheme="majorHAnsi" w:cs="Times New Roman"/>
          <w:sz w:val="24"/>
          <w:szCs w:val="24"/>
        </w:rPr>
        <w:t>posición de la Igl</w:t>
      </w:r>
      <w:r w:rsidRPr="00410B17">
        <w:rPr>
          <w:rFonts w:asciiTheme="majorHAnsi" w:hAnsiTheme="majorHAnsi" w:cs="Times New Roman"/>
          <w:sz w:val="24"/>
          <w:szCs w:val="24"/>
        </w:rPr>
        <w:t>e</w:t>
      </w:r>
      <w:r w:rsidR="00CF0F4E" w:rsidRPr="00410B17">
        <w:rPr>
          <w:rFonts w:asciiTheme="majorHAnsi" w:hAnsiTheme="majorHAnsi" w:cs="Times New Roman"/>
          <w:sz w:val="24"/>
          <w:szCs w:val="24"/>
        </w:rPr>
        <w:t>si</w:t>
      </w:r>
      <w:r w:rsidRPr="00410B17">
        <w:rPr>
          <w:rFonts w:asciiTheme="majorHAnsi" w:hAnsiTheme="majorHAnsi" w:cs="Times New Roman"/>
          <w:sz w:val="24"/>
          <w:szCs w:val="24"/>
        </w:rPr>
        <w:t xml:space="preserve">a Católica </w:t>
      </w:r>
      <w:r w:rsidR="00CF0F4E" w:rsidRPr="00410B17">
        <w:rPr>
          <w:rFonts w:asciiTheme="majorHAnsi" w:hAnsiTheme="majorHAnsi" w:cs="Times New Roman"/>
          <w:sz w:val="24"/>
          <w:szCs w:val="24"/>
        </w:rPr>
        <w:t>con relación a si misma;</w:t>
      </w:r>
    </w:p>
    <w:p w14:paraId="54FECB95" w14:textId="29666478" w:rsidR="00801CCD" w:rsidRPr="00410B17" w:rsidRDefault="00CF0F4E" w:rsidP="00BF67E4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10B17">
        <w:rPr>
          <w:rFonts w:asciiTheme="majorHAnsi" w:hAnsiTheme="majorHAnsi" w:cs="Times New Roman"/>
          <w:sz w:val="24"/>
          <w:szCs w:val="24"/>
        </w:rPr>
        <w:t>P</w:t>
      </w:r>
      <w:r w:rsidR="00801CCD" w:rsidRPr="00410B17">
        <w:rPr>
          <w:rFonts w:asciiTheme="majorHAnsi" w:hAnsiTheme="majorHAnsi" w:cs="Times New Roman"/>
          <w:sz w:val="24"/>
          <w:szCs w:val="24"/>
        </w:rPr>
        <w:t>resentar</w:t>
      </w:r>
      <w:r w:rsidRPr="00410B17">
        <w:rPr>
          <w:rFonts w:asciiTheme="majorHAnsi" w:hAnsiTheme="majorHAnsi" w:cs="Times New Roman"/>
          <w:sz w:val="24"/>
          <w:szCs w:val="24"/>
        </w:rPr>
        <w:t>, de forma crí</w:t>
      </w:r>
      <w:r w:rsidR="00801CCD" w:rsidRPr="00410B17">
        <w:rPr>
          <w:rFonts w:asciiTheme="majorHAnsi" w:hAnsiTheme="majorHAnsi" w:cs="Times New Roman"/>
          <w:sz w:val="24"/>
          <w:szCs w:val="24"/>
        </w:rPr>
        <w:t>tica</w:t>
      </w:r>
      <w:r w:rsidRPr="00410B17">
        <w:rPr>
          <w:rFonts w:asciiTheme="majorHAnsi" w:hAnsiTheme="majorHAnsi" w:cs="Times New Roman"/>
          <w:sz w:val="24"/>
          <w:szCs w:val="24"/>
        </w:rPr>
        <w:t xml:space="preserve">, </w:t>
      </w:r>
      <w:r w:rsidR="00801CCD" w:rsidRPr="00410B17">
        <w:rPr>
          <w:rFonts w:asciiTheme="majorHAnsi" w:hAnsiTheme="majorHAnsi" w:cs="Times New Roman"/>
          <w:sz w:val="24"/>
          <w:szCs w:val="24"/>
        </w:rPr>
        <w:t xml:space="preserve">políticas </w:t>
      </w:r>
      <w:r w:rsidRPr="00410B17">
        <w:rPr>
          <w:rFonts w:asciiTheme="majorHAnsi" w:hAnsiTheme="majorHAnsi" w:cs="Times New Roman"/>
          <w:sz w:val="24"/>
          <w:szCs w:val="24"/>
        </w:rPr>
        <w:t xml:space="preserve">o </w:t>
      </w:r>
      <w:r w:rsidR="00801CCD" w:rsidRPr="00410B17">
        <w:rPr>
          <w:rFonts w:asciiTheme="majorHAnsi" w:hAnsiTheme="majorHAnsi" w:cs="Times New Roman"/>
          <w:sz w:val="24"/>
          <w:szCs w:val="24"/>
        </w:rPr>
        <w:t xml:space="preserve">iniciativas </w:t>
      </w:r>
      <w:r w:rsidRPr="00410B17">
        <w:rPr>
          <w:rFonts w:asciiTheme="majorHAnsi" w:hAnsiTheme="majorHAnsi" w:cs="Times New Roman"/>
          <w:sz w:val="24"/>
          <w:szCs w:val="24"/>
        </w:rPr>
        <w:t xml:space="preserve">actuales destinadas a una </w:t>
      </w:r>
      <w:r w:rsidR="00801CCD" w:rsidRPr="00410B17">
        <w:rPr>
          <w:rFonts w:asciiTheme="majorHAnsi" w:hAnsiTheme="majorHAnsi" w:cs="Times New Roman"/>
          <w:sz w:val="24"/>
          <w:szCs w:val="24"/>
        </w:rPr>
        <w:t>“despolitiza</w:t>
      </w:r>
      <w:r w:rsidRPr="00410B17">
        <w:rPr>
          <w:rFonts w:asciiTheme="majorHAnsi" w:hAnsiTheme="majorHAnsi" w:cs="Times New Roman"/>
          <w:sz w:val="24"/>
          <w:szCs w:val="24"/>
        </w:rPr>
        <w:t>ción</w:t>
      </w:r>
      <w:r w:rsidR="00801CCD" w:rsidRPr="00410B17">
        <w:rPr>
          <w:rFonts w:asciiTheme="majorHAnsi" w:hAnsiTheme="majorHAnsi" w:cs="Times New Roman"/>
          <w:sz w:val="24"/>
          <w:szCs w:val="24"/>
        </w:rPr>
        <w:t xml:space="preserve"> d</w:t>
      </w:r>
      <w:r w:rsidRPr="00410B17">
        <w:rPr>
          <w:rFonts w:asciiTheme="majorHAnsi" w:hAnsiTheme="majorHAnsi" w:cs="Times New Roman"/>
          <w:sz w:val="24"/>
          <w:szCs w:val="24"/>
        </w:rPr>
        <w:t>e l</w:t>
      </w:r>
      <w:r w:rsidR="00801CCD" w:rsidRPr="00410B17">
        <w:rPr>
          <w:rFonts w:asciiTheme="majorHAnsi" w:hAnsiTheme="majorHAnsi" w:cs="Times New Roman"/>
          <w:sz w:val="24"/>
          <w:szCs w:val="24"/>
        </w:rPr>
        <w:t>as esc</w:t>
      </w:r>
      <w:r w:rsidRPr="00410B17">
        <w:rPr>
          <w:rFonts w:asciiTheme="majorHAnsi" w:hAnsiTheme="majorHAnsi" w:cs="Times New Roman"/>
          <w:sz w:val="24"/>
          <w:szCs w:val="24"/>
        </w:rPr>
        <w:t>uel</w:t>
      </w:r>
      <w:r w:rsidR="00801CCD" w:rsidRPr="00410B17">
        <w:rPr>
          <w:rFonts w:asciiTheme="majorHAnsi" w:hAnsiTheme="majorHAnsi" w:cs="Times New Roman"/>
          <w:sz w:val="24"/>
          <w:szCs w:val="24"/>
        </w:rPr>
        <w:t>as”</w:t>
      </w:r>
      <w:r w:rsidRPr="00410B17">
        <w:rPr>
          <w:rFonts w:asciiTheme="majorHAnsi" w:hAnsiTheme="majorHAnsi" w:cs="Times New Roman"/>
          <w:sz w:val="24"/>
          <w:szCs w:val="24"/>
        </w:rPr>
        <w:t xml:space="preserve"> centrada en la erradicación </w:t>
      </w:r>
      <w:r w:rsidR="00410B17" w:rsidRPr="00410B17">
        <w:rPr>
          <w:rFonts w:asciiTheme="majorHAnsi" w:hAnsiTheme="majorHAnsi" w:cs="Times New Roman"/>
          <w:sz w:val="24"/>
          <w:szCs w:val="24"/>
        </w:rPr>
        <w:t>de la denominada “ideologí</w:t>
      </w:r>
      <w:r w:rsidR="00801CCD" w:rsidRPr="00410B17">
        <w:rPr>
          <w:rFonts w:asciiTheme="majorHAnsi" w:hAnsiTheme="majorHAnsi" w:cs="Times New Roman"/>
          <w:sz w:val="24"/>
          <w:szCs w:val="24"/>
        </w:rPr>
        <w:t>a de género”</w:t>
      </w:r>
    </w:p>
    <w:p w14:paraId="3F82566B" w14:textId="77777777" w:rsidR="00801CCD" w:rsidRPr="00410B17" w:rsidRDefault="00801CCD" w:rsidP="00801CC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63A2164" w14:textId="00356F17" w:rsidR="00801CCD" w:rsidRPr="00F474ED" w:rsidRDefault="00801CCD" w:rsidP="00801CCD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proofErr w:type="spellStart"/>
      <w:r w:rsidRPr="00F474ED">
        <w:rPr>
          <w:rFonts w:asciiTheme="majorHAnsi" w:hAnsiTheme="majorHAnsi" w:cs="Times New Roman"/>
          <w:sz w:val="24"/>
          <w:szCs w:val="24"/>
          <w:lang w:val="en-US"/>
        </w:rPr>
        <w:t>Refer</w:t>
      </w:r>
      <w:r w:rsidR="00410B17" w:rsidRPr="00F474ED">
        <w:rPr>
          <w:rFonts w:asciiTheme="majorHAnsi" w:hAnsiTheme="majorHAnsi" w:cs="Times New Roman"/>
          <w:sz w:val="24"/>
          <w:szCs w:val="24"/>
          <w:lang w:val="en-US"/>
        </w:rPr>
        <w:t>e</w:t>
      </w:r>
      <w:r w:rsidRPr="00F474ED">
        <w:rPr>
          <w:rFonts w:asciiTheme="majorHAnsi" w:hAnsiTheme="majorHAnsi" w:cs="Times New Roman"/>
          <w:sz w:val="24"/>
          <w:szCs w:val="24"/>
          <w:lang w:val="en-US"/>
        </w:rPr>
        <w:t>ncias</w:t>
      </w:r>
      <w:proofErr w:type="spellEnd"/>
    </w:p>
    <w:p w14:paraId="117D34C6" w14:textId="77777777" w:rsidR="00F637E3" w:rsidRPr="00F637E3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proofErr w:type="spellStart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Bracke</w:t>
      </w:r>
      <w:proofErr w:type="spellEnd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 Sarah. 2016.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“Unpacking the Sin of Gender”. </w:t>
      </w:r>
      <w:r w:rsidRPr="00F637E3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  <w:lang w:val="en-US"/>
        </w:rPr>
        <w:t>Religion and Gender</w:t>
      </w:r>
      <w:r w:rsidRPr="00F637E3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6(2), 143–154.</w:t>
      </w:r>
    </w:p>
    <w:p w14:paraId="0B5E479B" w14:textId="77777777" w:rsidR="00F637E3" w:rsidRPr="00BD5BB9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  <w:proofErr w:type="spellStart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Braidotti</w:t>
      </w:r>
      <w:proofErr w:type="spellEnd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Rosi</w:t>
      </w:r>
      <w:proofErr w:type="spellEnd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. 2004. </w:t>
      </w:r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Feminismo, diferencia sexual y subjetividad </w:t>
      </w:r>
      <w:r>
        <w:rPr>
          <w:rFonts w:asciiTheme="majorHAnsi" w:hAnsiTheme="majorHAnsi" w:cs="Times New Roman"/>
          <w:i/>
          <w:color w:val="000000" w:themeColor="text1"/>
          <w:sz w:val="24"/>
          <w:szCs w:val="24"/>
        </w:rPr>
        <w:t>nómade</w:t>
      </w:r>
      <w:r>
        <w:rPr>
          <w:rFonts w:asciiTheme="majorHAnsi" w:hAnsiTheme="majorHAnsi" w:cs="Times New Roman"/>
          <w:color w:val="000000" w:themeColor="text1"/>
          <w:sz w:val="24"/>
          <w:szCs w:val="24"/>
        </w:rPr>
        <w:t>.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Barcelona: </w:t>
      </w:r>
      <w:proofErr w:type="spellStart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Gedisa</w:t>
      </w:r>
      <w:proofErr w:type="spellEnd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.</w:t>
      </w:r>
    </w:p>
    <w:p w14:paraId="3AEDB736" w14:textId="77777777" w:rsidR="00F637E3" w:rsidRPr="00BD5BB9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>Butler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 xml:space="preserve"> Judith </w:t>
      </w:r>
      <w:r w:rsidRPr="00801CCD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fr-FR"/>
        </w:rPr>
        <w:t>et al.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 xml:space="preserve"> 2007. 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 xml:space="preserve">« Pour 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>ne pas en finir avec le ‘genre’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fr-FR"/>
        </w:rPr>
        <w:t xml:space="preserve">... </w:t>
      </w:r>
      <w:r w:rsidRPr="00BD5BB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Table ronde », </w:t>
      </w:r>
      <w:proofErr w:type="spellStart"/>
      <w:r w:rsidRPr="00BD5BB9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en-US"/>
        </w:rPr>
        <w:t>Sociétés</w:t>
      </w:r>
      <w:proofErr w:type="spellEnd"/>
      <w:r w:rsidRPr="00BD5BB9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BD5BB9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en-US"/>
        </w:rPr>
        <w:t>Représentations</w:t>
      </w:r>
      <w:proofErr w:type="spellEnd"/>
      <w:r w:rsidRPr="00BD5BB9">
        <w:rPr>
          <w:rFonts w:asciiTheme="majorHAnsi" w:eastAsia="DejaVuSerif-Italic" w:hAnsiTheme="majorHAnsi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BD5BB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2(24), 285-306. DOI 10.3917/sr.024.0285</w:t>
      </w:r>
    </w:p>
    <w:p w14:paraId="4C9A6B68" w14:textId="77777777" w:rsidR="00F637E3" w:rsidRPr="00801CCD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Butler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Judith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.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1990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.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 w:rsidRPr="00801CCD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  <w:lang w:val="en-US"/>
        </w:rPr>
        <w:t>Gender Trouble: Feminism and the Subversion of Identity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. New York: Routledge.</w:t>
      </w:r>
    </w:p>
    <w:p w14:paraId="5B1757FC" w14:textId="77777777" w:rsidR="00F637E3" w:rsidRPr="00801CCD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</w:pP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Favier, Anthony. 2012. </w:t>
      </w:r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 xml:space="preserve">La </w:t>
      </w:r>
      <w:proofErr w:type="spellStart"/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>reception</w:t>
      </w:r>
      <w:proofErr w:type="spellEnd"/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 xml:space="preserve"> catholique des études de genre: Une approche historique, en contexte francophone. Le genre, approches d’</w:t>
      </w:r>
      <w:proofErr w:type="spellStart"/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>épassionnées</w:t>
      </w:r>
      <w:proofErr w:type="spellEnd"/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fr-FR"/>
        </w:rPr>
        <w:t xml:space="preserve"> d'un débat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, Lille, France. &lt;halshs-00765786&gt;</w:t>
      </w:r>
    </w:p>
    <w:p w14:paraId="29974B45" w14:textId="77777777" w:rsidR="00F637E3" w:rsidRPr="00801CCD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</w:pPr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lastRenderedPageBreak/>
        <w:t xml:space="preserve">Graff, </w:t>
      </w:r>
      <w:proofErr w:type="spellStart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>Agnieszka</w:t>
      </w:r>
      <w:proofErr w:type="spellEnd"/>
      <w:r w:rsidRPr="00BD5BB9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.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2016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.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 “‘Gender Ideology’: Weak Concepts, Powerful Politics, in:</w:t>
      </w:r>
      <w:r w:rsidRPr="00801CCD">
        <w:rPr>
          <w:rFonts w:asciiTheme="majorHAnsi" w:hAnsiTheme="majorHAnsi" w:cs="Times New Roman"/>
          <w:i/>
          <w:color w:val="000000" w:themeColor="text1"/>
          <w:sz w:val="24"/>
          <w:szCs w:val="24"/>
          <w:lang w:val="en-US"/>
        </w:rPr>
        <w:t xml:space="preserve"> Religion and Gender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 xml:space="preserve">6(2), </w:t>
      </w:r>
      <w:r w:rsidRPr="00801CCD">
        <w:rPr>
          <w:rFonts w:asciiTheme="majorHAnsi" w:hAnsiTheme="majorHAnsi" w:cs="Times New Roman"/>
          <w:color w:val="000000" w:themeColor="text1"/>
          <w:sz w:val="24"/>
          <w:szCs w:val="24"/>
          <w:lang w:val="en-US"/>
        </w:rPr>
        <w:t>264–272.</w:t>
      </w:r>
    </w:p>
    <w:p w14:paraId="2C2F5F0C" w14:textId="77777777" w:rsidR="00F637E3" w:rsidRPr="00801CCD" w:rsidRDefault="00F637E3" w:rsidP="00F637E3">
      <w:pPr>
        <w:pStyle w:val="Default"/>
        <w:spacing w:after="120" w:line="276" w:lineRule="auto"/>
        <w:ind w:left="709" w:hanging="709"/>
        <w:jc w:val="both"/>
        <w:rPr>
          <w:rFonts w:asciiTheme="majorHAnsi" w:hAnsiTheme="majorHAnsi" w:cs="Times New Roman"/>
          <w:color w:val="000000" w:themeColor="text1"/>
        </w:rPr>
      </w:pPr>
      <w:r w:rsidRPr="00801CCD">
        <w:rPr>
          <w:rFonts w:asciiTheme="majorHAnsi" w:hAnsiTheme="majorHAnsi" w:cs="Times New Roman"/>
          <w:color w:val="000000" w:themeColor="text1"/>
        </w:rPr>
        <w:t>Henriques</w:t>
      </w:r>
      <w:r>
        <w:rPr>
          <w:rFonts w:asciiTheme="majorHAnsi" w:hAnsiTheme="majorHAnsi" w:cs="Times New Roman"/>
          <w:color w:val="000000" w:themeColor="text1"/>
        </w:rPr>
        <w:t>,</w:t>
      </w:r>
      <w:r w:rsidRPr="00801CCD">
        <w:rPr>
          <w:rFonts w:asciiTheme="majorHAnsi" w:hAnsiTheme="majorHAnsi" w:cs="Times New Roman"/>
          <w:color w:val="000000" w:themeColor="text1"/>
        </w:rPr>
        <w:t xml:space="preserve"> Fernanda</w:t>
      </w:r>
      <w:r>
        <w:rPr>
          <w:rFonts w:asciiTheme="majorHAnsi" w:hAnsiTheme="majorHAnsi" w:cs="Times New Roman"/>
          <w:color w:val="000000" w:themeColor="text1"/>
        </w:rPr>
        <w:t>. 2011.</w:t>
      </w:r>
      <w:r w:rsidRPr="00801CCD">
        <w:rPr>
          <w:rFonts w:asciiTheme="majorHAnsi" w:hAnsiTheme="majorHAnsi" w:cs="Times New Roman"/>
          <w:color w:val="000000" w:themeColor="text1"/>
        </w:rPr>
        <w:t xml:space="preserve"> “Teologia e Feminismo”</w:t>
      </w:r>
      <w:r>
        <w:rPr>
          <w:rFonts w:asciiTheme="majorHAnsi" w:hAnsiTheme="majorHAnsi" w:cs="Times New Roman"/>
          <w:color w:val="000000" w:themeColor="text1"/>
        </w:rPr>
        <w:t>.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r w:rsidRPr="00801CCD">
        <w:rPr>
          <w:rFonts w:asciiTheme="majorHAnsi" w:hAnsiTheme="majorHAnsi" w:cs="Times New Roman"/>
          <w:i/>
          <w:color w:val="000000" w:themeColor="text1"/>
        </w:rPr>
        <w:t>In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r w:rsidRPr="00801CCD">
        <w:rPr>
          <w:rFonts w:asciiTheme="majorHAnsi" w:hAnsiTheme="majorHAnsi" w:cs="Times New Roman"/>
          <w:i/>
          <w:iCs/>
          <w:color w:val="000000" w:themeColor="text1"/>
        </w:rPr>
        <w:t>E Deus criou a Mulher. Mulheres e teologia</w:t>
      </w:r>
      <w:r>
        <w:rPr>
          <w:rFonts w:asciiTheme="majorHAnsi" w:hAnsiTheme="majorHAnsi" w:cs="Times New Roman"/>
          <w:i/>
          <w:iCs/>
          <w:color w:val="000000" w:themeColor="text1"/>
        </w:rPr>
        <w:t xml:space="preserve">, </w:t>
      </w:r>
      <w:r w:rsidRPr="00F637E3">
        <w:rPr>
          <w:rFonts w:asciiTheme="majorHAnsi" w:hAnsiTheme="majorHAnsi" w:cs="Times New Roman"/>
          <w:iCs/>
          <w:color w:val="000000" w:themeColor="text1"/>
        </w:rPr>
        <w:t>organizado por</w:t>
      </w:r>
      <w:r w:rsidRPr="00801CCD">
        <w:rPr>
          <w:rFonts w:asciiTheme="majorHAnsi" w:hAnsiTheme="majorHAnsi" w:cs="Times New Roman"/>
          <w:color w:val="000000" w:themeColor="text1"/>
        </w:rPr>
        <w:t xml:space="preserve"> Anselmo Borges e Isabel Caldeira</w:t>
      </w:r>
      <w:r>
        <w:rPr>
          <w:rFonts w:asciiTheme="majorHAnsi" w:hAnsiTheme="majorHAnsi" w:cs="Times New Roman"/>
          <w:color w:val="000000" w:themeColor="text1"/>
        </w:rPr>
        <w:t>, pp. 13-33. Coimbra: Nova Delphi</w:t>
      </w:r>
      <w:r w:rsidRPr="00801CCD">
        <w:rPr>
          <w:rFonts w:asciiTheme="majorHAnsi" w:hAnsiTheme="majorHAnsi" w:cs="Times New Roman"/>
          <w:color w:val="000000" w:themeColor="text1"/>
        </w:rPr>
        <w:t xml:space="preserve">. </w:t>
      </w:r>
    </w:p>
    <w:p w14:paraId="305E260D" w14:textId="77777777" w:rsidR="00F637E3" w:rsidRPr="00801CCD" w:rsidRDefault="00F637E3" w:rsidP="00F637E3">
      <w:pPr>
        <w:pStyle w:val="Default"/>
        <w:spacing w:after="120" w:line="276" w:lineRule="auto"/>
        <w:ind w:left="709" w:hanging="709"/>
        <w:jc w:val="both"/>
        <w:rPr>
          <w:rFonts w:asciiTheme="majorHAnsi" w:hAnsiTheme="majorHAnsi" w:cs="Times New Roman"/>
          <w:color w:val="000000" w:themeColor="text1"/>
        </w:rPr>
      </w:pPr>
      <w:r w:rsidRPr="00801CCD">
        <w:rPr>
          <w:rFonts w:asciiTheme="majorHAnsi" w:hAnsiTheme="majorHAnsi" w:cs="Times New Roman"/>
          <w:color w:val="000000" w:themeColor="text1"/>
        </w:rPr>
        <w:t>Henriques</w:t>
      </w:r>
      <w:r>
        <w:rPr>
          <w:rFonts w:asciiTheme="majorHAnsi" w:hAnsiTheme="majorHAnsi" w:cs="Times New Roman"/>
          <w:color w:val="000000" w:themeColor="text1"/>
        </w:rPr>
        <w:t>,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r>
        <w:rPr>
          <w:rFonts w:asciiTheme="majorHAnsi" w:hAnsiTheme="majorHAnsi" w:cs="Times New Roman"/>
          <w:color w:val="000000" w:themeColor="text1"/>
        </w:rPr>
        <w:t>Fernanda;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801CCD">
        <w:rPr>
          <w:rFonts w:asciiTheme="majorHAnsi" w:hAnsiTheme="majorHAnsi" w:cs="Times New Roman"/>
          <w:color w:val="000000" w:themeColor="text1"/>
        </w:rPr>
        <w:t>Toldy</w:t>
      </w:r>
      <w:proofErr w:type="spellEnd"/>
      <w:r>
        <w:rPr>
          <w:rFonts w:asciiTheme="majorHAnsi" w:hAnsiTheme="majorHAnsi" w:cs="Times New Roman"/>
          <w:color w:val="000000" w:themeColor="text1"/>
        </w:rPr>
        <w:t>,</w:t>
      </w:r>
      <w:r w:rsidRPr="00801CCD">
        <w:rPr>
          <w:rFonts w:asciiTheme="majorHAnsi" w:hAnsiTheme="majorHAnsi" w:cs="Times New Roman"/>
          <w:color w:val="000000" w:themeColor="text1"/>
        </w:rPr>
        <w:t xml:space="preserve"> Teresa</w:t>
      </w:r>
      <w:r>
        <w:rPr>
          <w:rFonts w:asciiTheme="majorHAnsi" w:hAnsiTheme="majorHAnsi" w:cs="Times New Roman"/>
          <w:color w:val="000000" w:themeColor="text1"/>
        </w:rPr>
        <w:t xml:space="preserve">. 2012. </w:t>
      </w:r>
      <w:r w:rsidRPr="00801CCD">
        <w:rPr>
          <w:rFonts w:asciiTheme="majorHAnsi" w:hAnsiTheme="majorHAnsi" w:cs="Times New Roman"/>
          <w:color w:val="000000" w:themeColor="text1"/>
        </w:rPr>
        <w:t>“A conceção inferior do feminino como “entidade transparente</w:t>
      </w:r>
      <w:r>
        <w:rPr>
          <w:rFonts w:asciiTheme="majorHAnsi" w:hAnsiTheme="majorHAnsi" w:cs="Times New Roman"/>
          <w:color w:val="000000" w:themeColor="text1"/>
        </w:rPr>
        <w:t xml:space="preserve">” na Filosofia e na Teologia”. </w:t>
      </w:r>
      <w:r w:rsidRPr="00801CCD">
        <w:rPr>
          <w:rFonts w:asciiTheme="majorHAnsi" w:hAnsiTheme="majorHAnsi" w:cs="Times New Roman"/>
          <w:i/>
          <w:color w:val="000000" w:themeColor="text1"/>
        </w:rPr>
        <w:t>In</w:t>
      </w:r>
      <w:r w:rsidRPr="00801CCD">
        <w:rPr>
          <w:rFonts w:asciiTheme="majorHAnsi" w:hAnsiTheme="majorHAnsi" w:cs="Times New Roman"/>
          <w:color w:val="000000" w:themeColor="text1"/>
        </w:rPr>
        <w:t xml:space="preserve"> </w:t>
      </w:r>
      <w:r w:rsidRPr="00801CCD">
        <w:rPr>
          <w:rFonts w:asciiTheme="majorHAnsi" w:hAnsiTheme="majorHAnsi" w:cs="Times New Roman"/>
          <w:i/>
          <w:iCs/>
          <w:color w:val="000000" w:themeColor="text1"/>
        </w:rPr>
        <w:t>Mulheres que ousaram ficar. Contributos para a Teologia feminista</w:t>
      </w:r>
      <w:r>
        <w:rPr>
          <w:rFonts w:asciiTheme="majorHAnsi" w:hAnsiTheme="majorHAnsi" w:cs="Times New Roman"/>
          <w:i/>
          <w:iCs/>
          <w:color w:val="000000" w:themeColor="text1"/>
        </w:rPr>
        <w:t xml:space="preserve">, </w:t>
      </w:r>
      <w:r w:rsidRPr="00F637E3">
        <w:rPr>
          <w:rFonts w:asciiTheme="majorHAnsi" w:hAnsiTheme="majorHAnsi" w:cs="Times New Roman"/>
          <w:iCs/>
          <w:color w:val="000000" w:themeColor="text1"/>
        </w:rPr>
        <w:t>organizado por</w:t>
      </w:r>
      <w:r w:rsidRPr="00F637E3">
        <w:rPr>
          <w:rFonts w:asciiTheme="majorHAnsi" w:hAnsiTheme="majorHAnsi" w:cs="Times New Roman"/>
          <w:color w:val="000000" w:themeColor="text1"/>
        </w:rPr>
        <w:t xml:space="preserve"> F</w:t>
      </w:r>
      <w:r w:rsidRPr="00801CCD">
        <w:rPr>
          <w:rFonts w:asciiTheme="majorHAnsi" w:hAnsiTheme="majorHAnsi" w:cs="Times New Roman"/>
          <w:color w:val="000000" w:themeColor="text1"/>
        </w:rPr>
        <w:t xml:space="preserve">. Henriques, T. </w:t>
      </w:r>
      <w:proofErr w:type="spellStart"/>
      <w:r w:rsidRPr="00801CCD">
        <w:rPr>
          <w:rFonts w:asciiTheme="majorHAnsi" w:hAnsiTheme="majorHAnsi" w:cs="Times New Roman"/>
          <w:color w:val="000000" w:themeColor="text1"/>
        </w:rPr>
        <w:t>Toldy</w:t>
      </w:r>
      <w:proofErr w:type="spellEnd"/>
      <w:r w:rsidRPr="00801CCD">
        <w:rPr>
          <w:rFonts w:asciiTheme="majorHAnsi" w:hAnsiTheme="majorHAnsi" w:cs="Times New Roman"/>
          <w:color w:val="000000" w:themeColor="text1"/>
        </w:rPr>
        <w:t>, Maria Carlos Ramos</w:t>
      </w:r>
      <w:r>
        <w:rPr>
          <w:rFonts w:asciiTheme="majorHAnsi" w:hAnsiTheme="majorHAnsi" w:cs="Times New Roman"/>
          <w:color w:val="000000" w:themeColor="text1"/>
        </w:rPr>
        <w:t xml:space="preserve"> e </w:t>
      </w:r>
      <w:r w:rsidRPr="00801CCD">
        <w:rPr>
          <w:rFonts w:asciiTheme="majorHAnsi" w:hAnsiTheme="majorHAnsi" w:cs="Times New Roman"/>
          <w:color w:val="000000" w:themeColor="text1"/>
        </w:rPr>
        <w:t>Julieta Dias</w:t>
      </w:r>
      <w:r>
        <w:rPr>
          <w:rFonts w:asciiTheme="majorHAnsi" w:hAnsiTheme="majorHAnsi" w:cs="Times New Roman"/>
          <w:color w:val="000000" w:themeColor="text1"/>
        </w:rPr>
        <w:t>, pp. 212-164.</w:t>
      </w:r>
      <w:r w:rsidRPr="00801CCD">
        <w:rPr>
          <w:rFonts w:asciiTheme="majorHAnsi" w:hAnsiTheme="majorHAnsi" w:cs="Times New Roman"/>
          <w:i/>
          <w:iCs/>
          <w:color w:val="000000" w:themeColor="text1"/>
        </w:rPr>
        <w:t xml:space="preserve"> </w:t>
      </w:r>
      <w:r w:rsidRPr="00801CCD">
        <w:rPr>
          <w:rFonts w:asciiTheme="majorHAnsi" w:hAnsiTheme="majorHAnsi" w:cs="Times New Roman"/>
          <w:color w:val="000000" w:themeColor="text1"/>
        </w:rPr>
        <w:t>Leça da</w:t>
      </w:r>
      <w:r>
        <w:rPr>
          <w:rFonts w:asciiTheme="majorHAnsi" w:hAnsiTheme="majorHAnsi" w:cs="Times New Roman"/>
          <w:color w:val="000000" w:themeColor="text1"/>
        </w:rPr>
        <w:t xml:space="preserve"> Palmeira: Letras e Coisas</w:t>
      </w:r>
      <w:r w:rsidRPr="00801CCD">
        <w:rPr>
          <w:rFonts w:asciiTheme="majorHAnsi" w:hAnsiTheme="majorHAnsi" w:cs="Times New Roman"/>
          <w:color w:val="000000" w:themeColor="text1"/>
        </w:rPr>
        <w:t xml:space="preserve">. </w:t>
      </w:r>
    </w:p>
    <w:p w14:paraId="26E6A0A2" w14:textId="77777777" w:rsidR="00F637E3" w:rsidRPr="00801CCD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proofErr w:type="spellStart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Perintfalvi</w:t>
      </w:r>
      <w:proofErr w:type="spellEnd"/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Rita, 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2016. 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“The True Face of the ‘Gender Ideology’ Discourse: Religious Fundamentalism, or Questioning th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e Principle of Democracy?</w:t>
      </w:r>
      <w:proofErr w:type="gramStart"/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”.</w:t>
      </w:r>
      <w:proofErr w:type="gramEnd"/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 w:rsidRPr="00801CCD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  <w:lang w:val="en-US"/>
        </w:rPr>
        <w:t>Journal of the European Society of Women in Theological Research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24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47-62.</w:t>
      </w:r>
    </w:p>
    <w:p w14:paraId="78AD2D81" w14:textId="77777777" w:rsidR="00F637E3" w:rsidRPr="00BD5BB9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</w:pPr>
      <w:proofErr w:type="spellStart"/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Ruether</w:t>
      </w:r>
      <w:proofErr w:type="spellEnd"/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,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Rosemary Radford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. 2008.</w:t>
      </w:r>
      <w:r w:rsidRPr="00801CCD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 </w:t>
      </w:r>
      <w:r w:rsidRPr="00801CCD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  <w:lang w:val="en-US"/>
        </w:rPr>
        <w:t>Catholics Does Not Equal the Vatican: A Vision for Progressive Catholicism</w:t>
      </w:r>
      <w:r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 xml:space="preserve">. </w:t>
      </w:r>
      <w:r w:rsidRPr="00BD5BB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en-US"/>
        </w:rPr>
        <w:t>New York: New Press.</w:t>
      </w:r>
    </w:p>
    <w:p w14:paraId="26B7B915" w14:textId="77777777" w:rsidR="00F637E3" w:rsidRPr="00BD5BB9" w:rsidRDefault="00F637E3" w:rsidP="00F637E3">
      <w:pPr>
        <w:pStyle w:val="Default"/>
        <w:spacing w:after="120" w:line="276" w:lineRule="auto"/>
        <w:ind w:left="709" w:hanging="709"/>
        <w:jc w:val="both"/>
        <w:rPr>
          <w:rFonts w:asciiTheme="majorHAnsi" w:hAnsiTheme="majorHAnsi" w:cs="Times New Roman"/>
          <w:color w:val="000000" w:themeColor="text1"/>
        </w:rPr>
      </w:pPr>
      <w:r w:rsidRPr="00801CCD">
        <w:rPr>
          <w:rFonts w:asciiTheme="majorHAnsi" w:hAnsiTheme="majorHAnsi" w:cs="Times New Roman"/>
          <w:color w:val="000000" w:themeColor="text1"/>
          <w:lang w:val="en-US"/>
        </w:rPr>
        <w:t>Scott</w:t>
      </w:r>
      <w:r>
        <w:rPr>
          <w:rFonts w:asciiTheme="majorHAnsi" w:hAnsiTheme="majorHAnsi" w:cs="Times New Roman"/>
          <w:color w:val="000000" w:themeColor="text1"/>
          <w:lang w:val="en-US"/>
        </w:rPr>
        <w:t>,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 Joan Wallach</w:t>
      </w:r>
      <w:r>
        <w:rPr>
          <w:rFonts w:asciiTheme="majorHAnsi" w:hAnsiTheme="majorHAnsi" w:cs="Times New Roman"/>
          <w:color w:val="000000" w:themeColor="text1"/>
          <w:lang w:val="en-US"/>
        </w:rPr>
        <w:t>. 2010.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 “Gender: Still a Useful Category of Analysis?</w:t>
      </w:r>
      <w:proofErr w:type="gramStart"/>
      <w:r w:rsidRPr="00801CCD">
        <w:rPr>
          <w:rFonts w:asciiTheme="majorHAnsi" w:hAnsiTheme="majorHAnsi" w:cs="Times New Roman"/>
          <w:color w:val="000000" w:themeColor="text1"/>
          <w:lang w:val="en-US"/>
        </w:rPr>
        <w:t>”,</w:t>
      </w:r>
      <w:proofErr w:type="gramEnd"/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 </w:t>
      </w:r>
      <w:r w:rsidRPr="00801CCD">
        <w:rPr>
          <w:rFonts w:asciiTheme="majorHAnsi" w:hAnsiTheme="majorHAnsi" w:cs="Times New Roman"/>
          <w:i/>
          <w:color w:val="000000" w:themeColor="text1"/>
          <w:lang w:val="en-US"/>
        </w:rPr>
        <w:t>Diogenes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, </w:t>
      </w:r>
      <w:r>
        <w:rPr>
          <w:rFonts w:asciiTheme="majorHAnsi" w:hAnsiTheme="majorHAnsi" w:cs="Times New Roman"/>
          <w:color w:val="000000" w:themeColor="text1"/>
          <w:lang w:val="en-US"/>
        </w:rPr>
        <w:t>57(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>1</w:t>
      </w:r>
      <w:r>
        <w:rPr>
          <w:rFonts w:asciiTheme="majorHAnsi" w:hAnsiTheme="majorHAnsi" w:cs="Times New Roman"/>
          <w:color w:val="000000" w:themeColor="text1"/>
          <w:lang w:val="en-US"/>
        </w:rPr>
        <w:t>) .</w:t>
      </w:r>
      <w:r w:rsidRPr="00801CCD">
        <w:rPr>
          <w:rFonts w:asciiTheme="majorHAnsi" w:hAnsiTheme="majorHAnsi" w:cs="Times New Roman"/>
          <w:color w:val="000000" w:themeColor="text1"/>
          <w:lang w:val="en-US"/>
        </w:rPr>
        <w:t xml:space="preserve"> </w:t>
      </w:r>
      <w:r w:rsidRPr="00BD5BB9">
        <w:rPr>
          <w:rFonts w:asciiTheme="majorHAnsi" w:hAnsiTheme="majorHAnsi" w:cs="Times New Roman"/>
          <w:color w:val="000000" w:themeColor="text1"/>
        </w:rPr>
        <w:t>DOI/10.1177/0392192110369316.</w:t>
      </w:r>
    </w:p>
    <w:p w14:paraId="714420FC" w14:textId="77777777" w:rsidR="00F637E3" w:rsidRPr="001E77C9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</w:pPr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 xml:space="preserve">Teresa </w:t>
      </w:r>
      <w:proofErr w:type="spellStart"/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>Toldy</w:t>
      </w:r>
      <w:proofErr w:type="spellEnd"/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 xml:space="preserve">. 2010. "A </w:t>
      </w:r>
      <w:proofErr w:type="spellStart"/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>violência</w:t>
      </w:r>
      <w:proofErr w:type="spellEnd"/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 xml:space="preserve"> e o poder </w:t>
      </w:r>
      <w:proofErr w:type="gramStart"/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>da(s.</w:t>
      </w:r>
      <w:proofErr w:type="gramEnd"/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 xml:space="preserve"> palavra(s.: a </w:t>
      </w:r>
      <w:proofErr w:type="spellStart"/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>religião</w:t>
      </w:r>
      <w:proofErr w:type="spellEnd"/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 xml:space="preserve"> cristã e as mulheres". </w:t>
      </w:r>
      <w:r w:rsidRPr="001E77C9">
        <w:rPr>
          <w:rFonts w:asciiTheme="majorHAnsi" w:eastAsia="DejaVuSerif" w:hAnsiTheme="majorHAnsi" w:cs="Times New Roman"/>
          <w:i/>
          <w:color w:val="000000" w:themeColor="text1"/>
          <w:sz w:val="24"/>
          <w:szCs w:val="24"/>
          <w:lang w:val="pt-PT"/>
        </w:rPr>
        <w:t>Revista Crítica de Ciências Sociais</w:t>
      </w:r>
      <w:r w:rsidRPr="001E77C9">
        <w:rPr>
          <w:rFonts w:asciiTheme="majorHAnsi" w:eastAsia="DejaVuSerif" w:hAnsiTheme="majorHAnsi" w:cs="Times New Roman"/>
          <w:color w:val="000000" w:themeColor="text1"/>
          <w:sz w:val="24"/>
          <w:szCs w:val="24"/>
          <w:lang w:val="pt-PT"/>
        </w:rPr>
        <w:t xml:space="preserve"> 89, 171-183.</w:t>
      </w:r>
    </w:p>
    <w:p w14:paraId="5DB252E4" w14:textId="77777777" w:rsidR="00F637E3" w:rsidRPr="001E77C9" w:rsidRDefault="00F637E3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  <w:lang w:val="pt-PT"/>
        </w:rPr>
      </w:pPr>
      <w:proofErr w:type="spellStart"/>
      <w:r w:rsidRPr="001E77C9">
        <w:rPr>
          <w:rFonts w:asciiTheme="majorHAnsi" w:hAnsiTheme="majorHAnsi" w:cs="Times New Roman"/>
          <w:color w:val="000000" w:themeColor="text1"/>
          <w:sz w:val="24"/>
          <w:szCs w:val="24"/>
          <w:lang w:val="pt-PT"/>
        </w:rPr>
        <w:t>Toldy</w:t>
      </w:r>
      <w:proofErr w:type="spellEnd"/>
      <w:r w:rsidRPr="001E77C9">
        <w:rPr>
          <w:rFonts w:asciiTheme="majorHAnsi" w:hAnsiTheme="majorHAnsi" w:cs="Times New Roman"/>
          <w:color w:val="000000" w:themeColor="text1"/>
          <w:sz w:val="24"/>
          <w:szCs w:val="24"/>
          <w:lang w:val="pt-PT"/>
        </w:rPr>
        <w:t xml:space="preserve">, Teresa; Santos, Ana Cristina. 2016. "Religião, género e cidadania sexual: Uma introdução". </w:t>
      </w:r>
      <w:r w:rsidRPr="001E77C9">
        <w:rPr>
          <w:rFonts w:asciiTheme="majorHAnsi" w:hAnsiTheme="majorHAnsi" w:cs="Times New Roman"/>
          <w:i/>
          <w:color w:val="000000" w:themeColor="text1"/>
          <w:sz w:val="24"/>
          <w:szCs w:val="24"/>
          <w:lang w:val="pt-PT"/>
        </w:rPr>
        <w:t>Revista Crítica de Ciências Sociais</w:t>
      </w:r>
      <w:r w:rsidRPr="001E77C9">
        <w:rPr>
          <w:rFonts w:asciiTheme="majorHAnsi" w:hAnsiTheme="majorHAnsi" w:cs="Times New Roman"/>
          <w:color w:val="000000" w:themeColor="text1"/>
          <w:sz w:val="24"/>
          <w:szCs w:val="24"/>
          <w:lang w:val="pt-PT"/>
        </w:rPr>
        <w:t xml:space="preserve"> 110, 43-50.</w:t>
      </w:r>
    </w:p>
    <w:p w14:paraId="5DB631FB" w14:textId="77777777" w:rsidR="00F474ED" w:rsidRPr="002A5CD9" w:rsidRDefault="00F474ED" w:rsidP="00F474ED">
      <w:pPr>
        <w:jc w:val="both"/>
        <w:rPr>
          <w:rFonts w:ascii="Cambria" w:eastAsia="Times New Roman" w:hAnsi="Cambria" w:cs="Calibri"/>
          <w:b/>
        </w:rPr>
      </w:pPr>
      <w:r w:rsidRPr="002A5CD9">
        <w:rPr>
          <w:rFonts w:ascii="Cambria" w:eastAsia="Times New Roman" w:hAnsi="Cambria" w:cs="Calibri"/>
          <w:b/>
        </w:rPr>
        <w:t>Plazo de envío:</w:t>
      </w:r>
    </w:p>
    <w:p w14:paraId="31A85EFF" w14:textId="67A66639" w:rsidR="00F474ED" w:rsidRPr="002A5CD9" w:rsidRDefault="00F474ED" w:rsidP="00F474ED">
      <w:pPr>
        <w:jc w:val="both"/>
        <w:rPr>
          <w:rFonts w:ascii="Cambria" w:eastAsia="Times New Roman" w:hAnsi="Cambria" w:cs="Calibri"/>
        </w:rPr>
      </w:pPr>
      <w:r w:rsidRPr="002A5CD9">
        <w:rPr>
          <w:rFonts w:ascii="Cambria" w:eastAsia="Times New Roman" w:hAnsi="Cambria" w:cs="Calibri"/>
        </w:rPr>
        <w:t xml:space="preserve">El envío de los artículos deberá realizarse con escrupuloso cumplimiento de las normas de la revista </w:t>
      </w:r>
      <w:r w:rsidRPr="002A5CD9">
        <w:rPr>
          <w:rFonts w:ascii="Cambria" w:eastAsia="Times New Roman" w:hAnsi="Cambria" w:cs="Calibri"/>
          <w:b/>
        </w:rPr>
        <w:t xml:space="preserve">hasta el </w:t>
      </w:r>
      <w:r>
        <w:rPr>
          <w:rFonts w:ascii="Cambria" w:eastAsia="Times New Roman" w:hAnsi="Cambria" w:cs="Calibri"/>
          <w:b/>
        </w:rPr>
        <w:t>30</w:t>
      </w:r>
      <w:r w:rsidRPr="002A5CD9">
        <w:rPr>
          <w:rFonts w:ascii="Cambria" w:eastAsia="Times New Roman" w:hAnsi="Cambria" w:cs="Calibri"/>
          <w:b/>
        </w:rPr>
        <w:t xml:space="preserve"> de </w:t>
      </w:r>
      <w:r w:rsidR="00773409">
        <w:rPr>
          <w:rFonts w:ascii="Cambria" w:eastAsia="Times New Roman" w:hAnsi="Cambria" w:cs="Calibri"/>
          <w:b/>
        </w:rPr>
        <w:t>N</w:t>
      </w:r>
      <w:r>
        <w:rPr>
          <w:rFonts w:ascii="Cambria" w:eastAsia="Times New Roman" w:hAnsi="Cambria" w:cs="Calibri"/>
          <w:b/>
        </w:rPr>
        <w:t>ov</w:t>
      </w:r>
      <w:r w:rsidR="00773409">
        <w:rPr>
          <w:rFonts w:ascii="Cambria" w:eastAsia="Times New Roman" w:hAnsi="Cambria" w:cs="Calibri"/>
          <w:b/>
        </w:rPr>
        <w:t>i</w:t>
      </w:r>
      <w:r>
        <w:rPr>
          <w:rFonts w:ascii="Cambria" w:eastAsia="Times New Roman" w:hAnsi="Cambria" w:cs="Calibri"/>
          <w:b/>
        </w:rPr>
        <w:t>embr</w:t>
      </w:r>
      <w:r w:rsidR="00773409">
        <w:rPr>
          <w:rFonts w:ascii="Cambria" w:eastAsia="Times New Roman" w:hAnsi="Cambria" w:cs="Calibri"/>
          <w:b/>
        </w:rPr>
        <w:t>e</w:t>
      </w:r>
      <w:r w:rsidRPr="002A5CD9">
        <w:rPr>
          <w:rFonts w:ascii="Cambria" w:eastAsia="Times New Roman" w:hAnsi="Cambria" w:cs="Calibri"/>
          <w:b/>
        </w:rPr>
        <w:t xml:space="preserve"> de 201</w:t>
      </w:r>
      <w:r>
        <w:rPr>
          <w:rFonts w:ascii="Cambria" w:eastAsia="Times New Roman" w:hAnsi="Cambria" w:cs="Calibri"/>
          <w:b/>
        </w:rPr>
        <w:t>7</w:t>
      </w:r>
      <w:r w:rsidRPr="002A5CD9">
        <w:rPr>
          <w:rFonts w:ascii="Cambria" w:eastAsia="Times New Roman" w:hAnsi="Cambria" w:cs="Calibri"/>
          <w:b/>
        </w:rPr>
        <w:t>,</w:t>
      </w:r>
      <w:r w:rsidRPr="002A5CD9">
        <w:rPr>
          <w:rFonts w:ascii="Cambria" w:eastAsia="Times New Roman" w:hAnsi="Cambria" w:cs="Calibri"/>
        </w:rPr>
        <w:t xml:space="preserve"> </w:t>
      </w:r>
      <w:r>
        <w:rPr>
          <w:rFonts w:ascii="Cambria" w:eastAsia="Times New Roman" w:hAnsi="Cambria" w:cs="Calibri"/>
        </w:rPr>
        <w:t>para</w:t>
      </w:r>
      <w:r w:rsidRPr="002A5CD9">
        <w:rPr>
          <w:rFonts w:ascii="Cambria" w:eastAsia="Times New Roman" w:hAnsi="Cambria" w:cs="Calibri"/>
        </w:rPr>
        <w:t xml:space="preserve"> </w:t>
      </w:r>
      <w:hyperlink r:id="rId5" w:history="1">
        <w:r w:rsidRPr="002A5CD9">
          <w:rPr>
            <w:rStyle w:val="Hiperligao"/>
            <w:rFonts w:ascii="Cambria" w:eastAsia="Times New Roman" w:hAnsi="Cambria" w:cs="Calibri"/>
          </w:rPr>
          <w:t>apem1991@gmail.com</w:t>
        </w:r>
      </w:hyperlink>
      <w:r>
        <w:rPr>
          <w:rStyle w:val="Hiperligao"/>
          <w:rFonts w:ascii="Cambria" w:eastAsia="Times New Roman" w:hAnsi="Cambria" w:cs="Calibri"/>
          <w:color w:val="auto"/>
        </w:rPr>
        <w:t>.</w:t>
      </w:r>
    </w:p>
    <w:p w14:paraId="0CA2D446" w14:textId="76FA90C4" w:rsidR="00F474ED" w:rsidRDefault="00F474ED" w:rsidP="00F474ED">
      <w:pPr>
        <w:pStyle w:val="Normal1"/>
        <w:spacing w:after="60" w:line="240" w:lineRule="auto"/>
        <w:jc w:val="both"/>
        <w:rPr>
          <w:rFonts w:ascii="Cambria" w:eastAsia="Times New Roman" w:hAnsi="Cambria" w:cs="Calibri"/>
          <w:lang w:val="es-ES"/>
        </w:rPr>
      </w:pPr>
      <w:r w:rsidRPr="002A5CD9">
        <w:rPr>
          <w:rFonts w:ascii="Cambria" w:eastAsia="Times New Roman" w:hAnsi="Cambria" w:cs="Calibri"/>
          <w:lang w:val="es-ES"/>
        </w:rPr>
        <w:t xml:space="preserve">Los textos que no respeten las normas en cuanto a extensión, formato, citas y referencias bibliográficas serán excluidos en una primera selección antes de ser sometidos a arbitraje. En el plazo de cuatro semanas luego de la fecha límite de recepción, las/los autoras/es recibirán información sobre los resultados de la primera selección y el paso a la siguiente etapa, es decir, al envío, bajo condición de anonimato, para una revisión por pares (peer </w:t>
      </w:r>
      <w:proofErr w:type="spellStart"/>
      <w:r w:rsidRPr="002A5CD9">
        <w:rPr>
          <w:rFonts w:ascii="Cambria" w:eastAsia="Times New Roman" w:hAnsi="Cambria" w:cs="Calibri"/>
          <w:lang w:val="es-ES"/>
        </w:rPr>
        <w:t>review</w:t>
      </w:r>
      <w:proofErr w:type="spellEnd"/>
      <w:r w:rsidRPr="002A5CD9">
        <w:rPr>
          <w:rFonts w:ascii="Cambria" w:eastAsia="Times New Roman" w:hAnsi="Cambria" w:cs="Calibri"/>
          <w:lang w:val="es-ES"/>
        </w:rPr>
        <w:t>) del texto.</w:t>
      </w:r>
      <w:r>
        <w:rPr>
          <w:rFonts w:ascii="Cambria" w:eastAsia="Times New Roman" w:hAnsi="Cambria" w:cs="Calibri"/>
          <w:lang w:val="es-ES"/>
        </w:rPr>
        <w:t xml:space="preserve"> E</w:t>
      </w:r>
      <w:r w:rsidRPr="00F474ED">
        <w:rPr>
          <w:rFonts w:ascii="Cambria" w:eastAsia="Times New Roman" w:hAnsi="Cambria" w:cs="Calibri"/>
          <w:lang w:val="es-ES"/>
        </w:rPr>
        <w:t xml:space="preserve">ste número </w:t>
      </w:r>
      <w:r>
        <w:rPr>
          <w:rFonts w:ascii="Cambria" w:eastAsia="Times New Roman" w:hAnsi="Cambria" w:cs="Calibri"/>
          <w:lang w:val="es-ES"/>
        </w:rPr>
        <w:t>será publicado en</w:t>
      </w:r>
      <w:r w:rsidRPr="00F474ED">
        <w:rPr>
          <w:rFonts w:ascii="Cambria" w:eastAsia="Times New Roman" w:hAnsi="Cambria" w:cs="Calibri"/>
          <w:lang w:val="es-ES"/>
        </w:rPr>
        <w:t xml:space="preserve"> </w:t>
      </w:r>
      <w:r w:rsidR="00773409">
        <w:rPr>
          <w:rFonts w:ascii="Cambria" w:eastAsia="Times New Roman" w:hAnsi="Cambria" w:cs="Calibri"/>
          <w:lang w:val="es-ES"/>
        </w:rPr>
        <w:t>M</w:t>
      </w:r>
      <w:r w:rsidRPr="00F474ED">
        <w:rPr>
          <w:rFonts w:ascii="Cambria" w:eastAsia="Times New Roman" w:hAnsi="Cambria" w:cs="Calibri"/>
          <w:lang w:val="es-ES"/>
        </w:rPr>
        <w:t>ayo de 2018.</w:t>
      </w:r>
    </w:p>
    <w:p w14:paraId="7EA94C38" w14:textId="77777777" w:rsidR="00F474ED" w:rsidRPr="00F474ED" w:rsidRDefault="00F474ED" w:rsidP="00F474ED">
      <w:pPr>
        <w:pStyle w:val="Normal1"/>
        <w:spacing w:after="60" w:line="240" w:lineRule="auto"/>
        <w:jc w:val="both"/>
        <w:rPr>
          <w:rFonts w:ascii="Cambria" w:hAnsi="Cambria"/>
          <w:lang w:val="es-ES"/>
        </w:rPr>
      </w:pPr>
    </w:p>
    <w:p w14:paraId="50634F40" w14:textId="77777777" w:rsidR="00BB1207" w:rsidRPr="001E77C9" w:rsidRDefault="00BB1207" w:rsidP="00BB1207">
      <w:pPr>
        <w:spacing w:after="60"/>
        <w:ind w:right="-772"/>
        <w:rPr>
          <w:rStyle w:val="Hiperligao"/>
          <w:rFonts w:ascii="Cambria" w:hAnsi="Cambria"/>
          <w:lang w:val="pt-PT"/>
        </w:rPr>
      </w:pPr>
    </w:p>
    <w:p w14:paraId="0CE43494" w14:textId="6FA4B0AE" w:rsidR="00BB1207" w:rsidRPr="00791EA8" w:rsidRDefault="00791EA8" w:rsidP="00BB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284"/>
        <w:spacing w:after="60"/>
        <w:ind w:right="49"/>
        <w:jc w:val="center"/>
        <w:rPr>
          <w:rFonts w:ascii="Cambria" w:hAnsi="Cambria"/>
          <w:b/>
          <w:color w:val="660066"/>
        </w:rPr>
      </w:pPr>
      <w:r w:rsidRPr="00791EA8">
        <w:rPr>
          <w:rStyle w:val="Hiperligao"/>
          <w:rFonts w:ascii="Cambria" w:hAnsi="Cambria"/>
          <w:b/>
          <w:color w:val="660066"/>
        </w:rPr>
        <w:t xml:space="preserve">Además de los envíos para los dossiers temáticos, ex </w:t>
      </w:r>
      <w:proofErr w:type="spellStart"/>
      <w:r w:rsidRPr="00791EA8">
        <w:rPr>
          <w:rStyle w:val="Hiperligao"/>
          <w:rFonts w:ascii="Cambria" w:hAnsi="Cambria"/>
          <w:b/>
          <w:color w:val="660066"/>
        </w:rPr>
        <w:t>æquo</w:t>
      </w:r>
      <w:proofErr w:type="spellEnd"/>
      <w:r w:rsidRPr="00791EA8">
        <w:rPr>
          <w:rStyle w:val="Hiperligao"/>
          <w:rFonts w:ascii="Cambria" w:hAnsi="Cambria"/>
          <w:b/>
          <w:color w:val="660066"/>
        </w:rPr>
        <w:t xml:space="preserve"> acepta permanentemente contribuciones para las secciones de Estudios y Ensayos y </w:t>
      </w:r>
      <w:r>
        <w:rPr>
          <w:rStyle w:val="Hiperligao"/>
          <w:rFonts w:ascii="Cambria" w:hAnsi="Cambria"/>
          <w:b/>
          <w:color w:val="660066"/>
        </w:rPr>
        <w:t xml:space="preserve">de </w:t>
      </w:r>
      <w:r w:rsidRPr="00791EA8">
        <w:rPr>
          <w:rStyle w:val="Hiperligao"/>
          <w:rFonts w:ascii="Cambria" w:hAnsi="Cambria"/>
          <w:b/>
          <w:color w:val="660066"/>
        </w:rPr>
        <w:t>Recensiones.</w:t>
      </w:r>
    </w:p>
    <w:p w14:paraId="29C1BB94" w14:textId="77777777" w:rsidR="00BB1207" w:rsidRPr="00791EA8" w:rsidRDefault="00BB1207" w:rsidP="00BB1207">
      <w:pPr>
        <w:spacing w:after="60"/>
        <w:ind w:right="-772"/>
        <w:jc w:val="both"/>
        <w:rPr>
          <w:rFonts w:ascii="Cambria" w:hAnsi="Cambria"/>
        </w:rPr>
      </w:pPr>
    </w:p>
    <w:p w14:paraId="30A2608F" w14:textId="4FED6613" w:rsidR="000902C0" w:rsidRPr="00791EA8" w:rsidRDefault="000902C0" w:rsidP="000902C0">
      <w:pPr>
        <w:spacing w:after="60" w:line="240" w:lineRule="auto"/>
        <w:ind w:right="51"/>
        <w:rPr>
          <w:rFonts w:ascii="Cambria" w:hAnsi="Cambria"/>
          <w:sz w:val="20"/>
          <w:szCs w:val="20"/>
        </w:rPr>
      </w:pPr>
    </w:p>
    <w:p w14:paraId="39C90D1F" w14:textId="3894C677" w:rsidR="000902C0" w:rsidRPr="00791EA8" w:rsidRDefault="000902C0" w:rsidP="000902C0">
      <w:pPr>
        <w:spacing w:after="60" w:line="240" w:lineRule="auto"/>
        <w:ind w:right="51"/>
        <w:jc w:val="both"/>
      </w:pPr>
    </w:p>
    <w:p w14:paraId="32F7EE05" w14:textId="77777777" w:rsidR="00BD5BB9" w:rsidRPr="00791EA8" w:rsidRDefault="00BD5BB9" w:rsidP="00BD5BB9">
      <w:pPr>
        <w:rPr>
          <w:rFonts w:ascii="Cambria" w:hAnsi="Cambria"/>
          <w:b/>
          <w:i/>
          <w:sz w:val="20"/>
        </w:rPr>
      </w:pPr>
    </w:p>
    <w:p w14:paraId="6C730A2F" w14:textId="77777777" w:rsidR="00BD5BB9" w:rsidRPr="00791EA8" w:rsidRDefault="00BD5BB9" w:rsidP="00BD5BB9">
      <w:pPr>
        <w:rPr>
          <w:rFonts w:ascii="Cambria" w:hAnsi="Cambria"/>
          <w:b/>
          <w:i/>
          <w:sz w:val="20"/>
        </w:rPr>
      </w:pPr>
    </w:p>
    <w:p w14:paraId="2A3AD6E8" w14:textId="3DACFB78" w:rsidR="001B3C3F" w:rsidRPr="001C5A88" w:rsidRDefault="001B3C3F" w:rsidP="001B3C3F">
      <w:pPr>
        <w:spacing w:before="240" w:after="0" w:line="240" w:lineRule="auto"/>
        <w:rPr>
          <w:rFonts w:asciiTheme="majorHAnsi" w:hAnsiTheme="majorHAnsi"/>
          <w:sz w:val="24"/>
          <w:szCs w:val="24"/>
          <w:lang w:val="es-ES_tradnl"/>
        </w:rPr>
      </w:pPr>
      <w:r w:rsidRPr="009B4261">
        <w:rPr>
          <w:rFonts w:ascii="Cambria" w:hAnsi="Cambria"/>
          <w:i/>
          <w:noProof/>
          <w:color w:val="595959" w:themeColor="text1" w:themeTint="A6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05B5D83" wp14:editId="25C2CFDC">
            <wp:simplePos x="0" y="0"/>
            <wp:positionH relativeFrom="margin">
              <wp:posOffset>3183890</wp:posOffset>
            </wp:positionH>
            <wp:positionV relativeFrom="margin">
              <wp:posOffset>2540</wp:posOffset>
            </wp:positionV>
            <wp:extent cx="2399030" cy="2578735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1C5A88">
        <w:rPr>
          <w:rFonts w:asciiTheme="majorHAnsi" w:hAnsiTheme="majorHAnsi"/>
          <w:b/>
          <w:i/>
          <w:sz w:val="24"/>
          <w:szCs w:val="24"/>
          <w:lang w:val="es-ES_tradnl"/>
        </w:rPr>
        <w:t>ex</w:t>
      </w:r>
      <w:proofErr w:type="gramEnd"/>
      <w:r w:rsidRPr="001C5A88">
        <w:rPr>
          <w:rFonts w:asciiTheme="majorHAnsi" w:hAnsiTheme="majorHAnsi"/>
          <w:b/>
          <w:i/>
          <w:sz w:val="24"/>
          <w:szCs w:val="24"/>
          <w:lang w:val="es-ES_tradnl"/>
        </w:rPr>
        <w:t xml:space="preserve"> </w:t>
      </w:r>
      <w:proofErr w:type="spellStart"/>
      <w:r w:rsidRPr="001C5A88">
        <w:rPr>
          <w:rFonts w:asciiTheme="majorHAnsi" w:hAnsiTheme="majorHAnsi"/>
          <w:b/>
          <w:i/>
          <w:sz w:val="24"/>
          <w:szCs w:val="24"/>
          <w:lang w:val="es-ES_tradnl"/>
        </w:rPr>
        <w:t>æquo</w:t>
      </w:r>
      <w:proofErr w:type="spellEnd"/>
      <w:r w:rsidRPr="001C5A88"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</w:p>
    <w:p w14:paraId="2E53481E" w14:textId="42F9267E" w:rsidR="001B3C3F" w:rsidRPr="009B4261" w:rsidRDefault="001B3C3F" w:rsidP="001B3C3F">
      <w:pPr>
        <w:spacing w:after="0" w:line="240" w:lineRule="auto"/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</w:pPr>
      <w:proofErr w:type="gramStart"/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>es</w:t>
      </w:r>
      <w:proofErr w:type="gramEnd"/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 xml:space="preserve"> una revista internacional publicada semestralmente</w:t>
      </w:r>
      <w:r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 xml:space="preserve"> desde 1999</w:t>
      </w:r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 xml:space="preserve">, editada por la Asociación Portuguesa de Estudios de las Mujeres – APEM, en colaboración con ediciones </w:t>
      </w:r>
      <w:proofErr w:type="spellStart"/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>Afrontamento</w:t>
      </w:r>
      <w:proofErr w:type="spellEnd"/>
      <w:r w:rsidRPr="009B4261">
        <w:rPr>
          <w:rFonts w:ascii="Cambria" w:hAnsi="Cambria" w:cs="Times New Roman"/>
          <w:color w:val="595959" w:themeColor="text1" w:themeTint="A6"/>
          <w:spacing w:val="-15"/>
          <w:sz w:val="20"/>
          <w:szCs w:val="20"/>
          <w:lang w:val="es-ES_tradnl"/>
        </w:rPr>
        <w:t xml:space="preserve">. </w:t>
      </w:r>
      <w:r w:rsidRPr="009B4261">
        <w:rPr>
          <w:rFonts w:ascii="Cambria" w:hAnsi="Cambria" w:cs="Times New Roman"/>
          <w:color w:val="595959" w:themeColor="text1" w:themeTint="A6"/>
          <w:sz w:val="20"/>
          <w:szCs w:val="20"/>
          <w:lang w:val="es-ES_tradnl"/>
        </w:rPr>
        <w:t>(</w:t>
      </w:r>
      <w:r w:rsidRPr="00BC3A89">
        <w:rPr>
          <w:rFonts w:ascii="Cambria" w:hAnsi="Cambria" w:cs="Times New Roman"/>
          <w:color w:val="595959" w:themeColor="text1" w:themeTint="A6"/>
          <w:sz w:val="20"/>
          <w:szCs w:val="20"/>
          <w:lang w:val="es-ES_tradnl"/>
        </w:rPr>
        <w:t>http://exaequo.apem-estudos.org/page/apresentacao-da-revista?lingua=en</w:t>
      </w:r>
      <w:r w:rsidRPr="009B4261">
        <w:rPr>
          <w:rFonts w:ascii="Cambria" w:hAnsi="Cambria" w:cs="Times New Roman"/>
          <w:color w:val="595959" w:themeColor="text1" w:themeTint="A6"/>
          <w:sz w:val="20"/>
          <w:szCs w:val="20"/>
          <w:lang w:val="es-ES_tradnl"/>
        </w:rPr>
        <w:t>)</w:t>
      </w:r>
    </w:p>
    <w:p w14:paraId="4C026577" w14:textId="4BB29373" w:rsidR="001B3C3F" w:rsidRPr="009B4261" w:rsidRDefault="001B3C3F" w:rsidP="001B3C3F">
      <w:pPr>
        <w:spacing w:after="0" w:line="240" w:lineRule="auto"/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</w:pPr>
      <w:proofErr w:type="gramStart"/>
      <w:r w:rsidRPr="009B4261">
        <w:rPr>
          <w:rFonts w:ascii="Cambria" w:hAnsi="Cambria"/>
          <w:b/>
          <w:i/>
          <w:sz w:val="20"/>
          <w:szCs w:val="20"/>
          <w:lang w:val="es-ES_tradnl"/>
        </w:rPr>
        <w:t>ex</w:t>
      </w:r>
      <w:proofErr w:type="gramEnd"/>
      <w:r w:rsidRPr="009B4261">
        <w:rPr>
          <w:rFonts w:ascii="Cambria" w:hAnsi="Cambria"/>
          <w:b/>
          <w:i/>
          <w:sz w:val="20"/>
          <w:szCs w:val="20"/>
          <w:lang w:val="es-ES_tradnl"/>
        </w:rPr>
        <w:t xml:space="preserve"> </w:t>
      </w:r>
      <w:proofErr w:type="spellStart"/>
      <w:r w:rsidRPr="009B4261">
        <w:rPr>
          <w:rFonts w:ascii="Cambria" w:hAnsi="Cambria"/>
          <w:b/>
          <w:i/>
          <w:sz w:val="20"/>
          <w:szCs w:val="20"/>
          <w:lang w:val="es-ES_tradnl"/>
        </w:rPr>
        <w:t>æquo</w:t>
      </w:r>
      <w:proofErr w:type="spellEnd"/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 intenta una audiencia internacional, y acepta manuscritos en Portugués, Inglés, Francés y Español, de varios países. Pretende garantizar la publicación de artículos que contribuyan significativamente al avance del conocimiento en el campo de estudios de la mujer, feministas y de género.</w:t>
      </w:r>
    </w:p>
    <w:p w14:paraId="12FB5369" w14:textId="1CD2961E" w:rsidR="001B3C3F" w:rsidRPr="00D3466B" w:rsidRDefault="001B3C3F" w:rsidP="001B3C3F">
      <w:pPr>
        <w:spacing w:after="60" w:line="240" w:lineRule="auto"/>
        <w:ind w:right="51"/>
        <w:rPr>
          <w:rFonts w:ascii="Cambria" w:hAnsi="Cambria"/>
          <w:i/>
        </w:rPr>
      </w:pPr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Los artículos enviados a </w:t>
      </w:r>
      <w:r w:rsidRPr="009B4261">
        <w:rPr>
          <w:rFonts w:ascii="Cambria" w:hAnsi="Cambria"/>
          <w:b/>
          <w:i/>
          <w:sz w:val="20"/>
          <w:szCs w:val="20"/>
          <w:lang w:val="es-ES_tradnl"/>
        </w:rPr>
        <w:t xml:space="preserve">ex </w:t>
      </w:r>
      <w:proofErr w:type="spellStart"/>
      <w:r w:rsidRPr="009B4261">
        <w:rPr>
          <w:rFonts w:ascii="Cambria" w:hAnsi="Cambria"/>
          <w:b/>
          <w:i/>
          <w:sz w:val="20"/>
          <w:szCs w:val="20"/>
          <w:lang w:val="es-ES_tradnl"/>
        </w:rPr>
        <w:t>æquo</w:t>
      </w:r>
      <w:proofErr w:type="spellEnd"/>
      <w:r w:rsidRPr="009B4261">
        <w:rPr>
          <w:rFonts w:ascii="Cambria" w:hAnsi="Cambria"/>
          <w:color w:val="595959" w:themeColor="text1" w:themeTint="A6"/>
          <w:spacing w:val="-15"/>
          <w:sz w:val="20"/>
          <w:szCs w:val="20"/>
          <w:lang w:val="es-ES_tradnl"/>
        </w:rPr>
        <w:t xml:space="preserve"> para publicación son sometidos, bajo anonimato, un proceso de arbitraje independiente dual (revisión doble ciega) por expertos nacionales e internacionales en el área respectiva en la que el texto se inscribe. </w:t>
      </w:r>
      <w:r w:rsidRPr="00D3466B">
        <w:rPr>
          <w:rFonts w:ascii="Cambria" w:hAnsi="Cambria"/>
          <w:color w:val="595959" w:themeColor="text1" w:themeTint="A6"/>
          <w:spacing w:val="-15"/>
          <w:sz w:val="20"/>
          <w:szCs w:val="20"/>
        </w:rPr>
        <w:t>Está indexada en:</w:t>
      </w:r>
    </w:p>
    <w:p w14:paraId="4EBB9A11" w14:textId="18B85DFD" w:rsidR="001B3C3F" w:rsidRPr="00BC3A89" w:rsidRDefault="001B3C3F" w:rsidP="001B3C3F">
      <w:pPr>
        <w:spacing w:before="240" w:after="0" w:line="240" w:lineRule="auto"/>
        <w:rPr>
          <w:rFonts w:asciiTheme="majorHAnsi" w:hAnsiTheme="majorHAnsi"/>
          <w:sz w:val="24"/>
          <w:szCs w:val="24"/>
          <w:lang w:val="es-ES_tradnl"/>
        </w:rPr>
      </w:pPr>
      <w:proofErr w:type="gramStart"/>
      <w:r w:rsidRPr="001C5A88">
        <w:rPr>
          <w:rFonts w:asciiTheme="majorHAnsi" w:hAnsiTheme="majorHAnsi"/>
          <w:b/>
          <w:i/>
          <w:sz w:val="24"/>
          <w:szCs w:val="24"/>
          <w:lang w:val="es-ES_tradnl"/>
        </w:rPr>
        <w:t>ex</w:t>
      </w:r>
      <w:proofErr w:type="gramEnd"/>
      <w:r w:rsidRPr="001C5A88">
        <w:rPr>
          <w:rFonts w:asciiTheme="majorHAnsi" w:hAnsiTheme="majorHAnsi"/>
          <w:b/>
          <w:i/>
          <w:sz w:val="24"/>
          <w:szCs w:val="24"/>
          <w:lang w:val="es-ES_tradnl"/>
        </w:rPr>
        <w:t xml:space="preserve"> </w:t>
      </w:r>
      <w:proofErr w:type="spellStart"/>
      <w:r w:rsidRPr="001C5A88">
        <w:rPr>
          <w:rFonts w:asciiTheme="majorHAnsi" w:hAnsiTheme="majorHAnsi"/>
          <w:b/>
          <w:i/>
          <w:sz w:val="24"/>
          <w:szCs w:val="24"/>
          <w:lang w:val="es-ES_tradnl"/>
        </w:rPr>
        <w:t>æquo</w:t>
      </w:r>
      <w:proofErr w:type="spellEnd"/>
      <w:r w:rsidRPr="001C5A88"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r w:rsidRPr="00BC3A89">
        <w:rPr>
          <w:rFonts w:ascii="Cambria" w:hAnsi="Cambria" w:cstheme="minorHAnsi"/>
          <w:sz w:val="20"/>
          <w:szCs w:val="24"/>
        </w:rPr>
        <w:t>es patrocinad</w:t>
      </w:r>
      <w:r>
        <w:rPr>
          <w:rFonts w:ascii="Cambria" w:hAnsi="Cambria" w:cstheme="minorHAnsi"/>
          <w:sz w:val="20"/>
          <w:szCs w:val="24"/>
        </w:rPr>
        <w:t>a</w:t>
      </w:r>
      <w:r w:rsidRPr="00BC3A89">
        <w:rPr>
          <w:rFonts w:ascii="Cambria" w:hAnsi="Cambria" w:cstheme="minorHAnsi"/>
          <w:sz w:val="20"/>
          <w:szCs w:val="24"/>
        </w:rPr>
        <w:t xml:space="preserve"> por la Fundación </w:t>
      </w:r>
      <w:r>
        <w:rPr>
          <w:rFonts w:ascii="Cambria" w:hAnsi="Cambria" w:cstheme="minorHAnsi"/>
          <w:sz w:val="20"/>
          <w:szCs w:val="24"/>
        </w:rPr>
        <w:t>P</w:t>
      </w:r>
      <w:r w:rsidRPr="00BC3A89">
        <w:rPr>
          <w:rFonts w:ascii="Cambria" w:hAnsi="Cambria" w:cstheme="minorHAnsi"/>
          <w:sz w:val="20"/>
          <w:szCs w:val="24"/>
        </w:rPr>
        <w:t>ortugue</w:t>
      </w:r>
      <w:r>
        <w:rPr>
          <w:rFonts w:ascii="Cambria" w:hAnsi="Cambria" w:cstheme="minorHAnsi"/>
          <w:sz w:val="20"/>
          <w:szCs w:val="24"/>
        </w:rPr>
        <w:t xml:space="preserve">sa de Ciencia y Tecnología </w:t>
      </w:r>
      <w:r w:rsidRPr="00BC3A89">
        <w:rPr>
          <w:rFonts w:ascii="Cambria" w:hAnsi="Cambria" w:cstheme="minorHAnsi"/>
          <w:sz w:val="20"/>
          <w:szCs w:val="24"/>
        </w:rPr>
        <w:t>(FCT) (</w:t>
      </w:r>
      <w:hyperlink r:id="rId7" w:tgtFrame="_blank" w:history="1">
        <w:r w:rsidRPr="00BC3A89">
          <w:rPr>
            <w:rStyle w:val="Hiperligao"/>
            <w:rFonts w:ascii="Cambria" w:hAnsi="Cambria" w:cstheme="minorHAnsi"/>
            <w:sz w:val="20"/>
            <w:szCs w:val="24"/>
          </w:rPr>
          <w:t>http://alfa.fct.mctes.pt/apoios/facc/estatisticas/periodicos_2002_2006#sociais</w:t>
        </w:r>
      </w:hyperlink>
      <w:r w:rsidRPr="00BC3A89">
        <w:rPr>
          <w:rFonts w:ascii="Cambria" w:hAnsi="Cambria" w:cstheme="minorHAnsi"/>
          <w:sz w:val="20"/>
          <w:szCs w:val="24"/>
        </w:rPr>
        <w:t>).</w:t>
      </w:r>
    </w:p>
    <w:p w14:paraId="0E125D7D" w14:textId="77777777" w:rsidR="001B3C3F" w:rsidRPr="00BC3A89" w:rsidRDefault="001B3C3F" w:rsidP="001B3C3F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sz w:val="20"/>
          <w:lang w:val="en-US"/>
        </w:rPr>
      </w:pPr>
      <w:r w:rsidRPr="00BC3A89">
        <w:rPr>
          <w:rFonts w:ascii="Cambria" w:hAnsi="Cambria" w:cs="Palatino-Roman"/>
          <w:b/>
          <w:sz w:val="20"/>
          <w:lang w:val="en-US"/>
        </w:rPr>
        <w:t>Indexed in</w:t>
      </w:r>
      <w:r w:rsidRPr="00BC3A89">
        <w:rPr>
          <w:rFonts w:ascii="Cambria" w:hAnsi="Cambria" w:cs="Palatino-Roman"/>
          <w:sz w:val="20"/>
          <w:lang w:val="en-US"/>
        </w:rPr>
        <w:t xml:space="preserve">: </w:t>
      </w:r>
    </w:p>
    <w:p w14:paraId="719939AE" w14:textId="56D16838" w:rsidR="001B3C3F" w:rsidRPr="00BC3A89" w:rsidRDefault="001B3C3F" w:rsidP="001B3C3F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b/>
          <w:sz w:val="20"/>
          <w:lang w:val="en-US"/>
        </w:rPr>
      </w:pPr>
      <w:proofErr w:type="spellStart"/>
      <w:r w:rsidRPr="00BC3A89">
        <w:rPr>
          <w:rFonts w:ascii="Cambria" w:hAnsi="Cambria" w:cs="Palatino-Roman"/>
          <w:b/>
          <w:sz w:val="20"/>
          <w:lang w:val="en-US"/>
        </w:rPr>
        <w:t>SciELO</w:t>
      </w:r>
      <w:proofErr w:type="spellEnd"/>
      <w:r w:rsidRPr="00BC3A89">
        <w:rPr>
          <w:rFonts w:ascii="Cambria" w:hAnsi="Cambria" w:cs="Palatino-Roman"/>
          <w:b/>
          <w:sz w:val="20"/>
          <w:lang w:val="en-US"/>
        </w:rPr>
        <w:t xml:space="preserve"> Citation Index da Thomson Reuters: </w:t>
      </w:r>
      <w:proofErr w:type="spellStart"/>
      <w:r w:rsidRPr="00BC3A89">
        <w:rPr>
          <w:rFonts w:ascii="Cambria" w:hAnsi="Cambria"/>
          <w:i/>
          <w:iCs/>
          <w:color w:val="333333"/>
          <w:sz w:val="20"/>
          <w:shd w:val="clear" w:color="auto" w:fill="FFFFFF" w:themeFill="background1"/>
          <w:lang w:val="en-US"/>
        </w:rPr>
        <w:t>SciELO</w:t>
      </w:r>
      <w:proofErr w:type="spellEnd"/>
      <w:r w:rsidRPr="00BC3A89">
        <w:rPr>
          <w:rFonts w:ascii="Cambria" w:hAnsi="Cambria"/>
          <w:i/>
          <w:iCs/>
          <w:color w:val="333333"/>
          <w:sz w:val="20"/>
          <w:shd w:val="clear" w:color="auto" w:fill="FFFFFF" w:themeFill="background1"/>
          <w:lang w:val="en-US"/>
        </w:rPr>
        <w:t xml:space="preserve"> Citation Index - </w:t>
      </w:r>
      <w:hyperlink r:id="rId8" w:history="1">
        <w:r w:rsidRPr="00BC3A89">
          <w:rPr>
            <w:rStyle w:val="Hiperligao"/>
            <w:rFonts w:ascii="Cambria" w:hAnsi="Cambria"/>
            <w:i/>
            <w:iCs/>
            <w:sz w:val="20"/>
            <w:shd w:val="clear" w:color="auto" w:fill="FFFFFF" w:themeFill="background1"/>
            <w:lang w:val="en-US"/>
          </w:rPr>
          <w:t>http://apps.webofknowledge.com/SCIELO</w:t>
        </w:r>
      </w:hyperlink>
      <w:r w:rsidRPr="00BC3A89">
        <w:rPr>
          <w:rFonts w:ascii="Cambria" w:hAnsi="Cambria"/>
          <w:i/>
          <w:iCs/>
          <w:color w:val="333333"/>
          <w:sz w:val="20"/>
          <w:shd w:val="clear" w:color="auto" w:fill="FFFFFF" w:themeFill="background1"/>
          <w:lang w:val="en-US"/>
        </w:rPr>
        <w:t xml:space="preserve"> </w:t>
      </w:r>
      <w:r w:rsidRPr="00BC3A89">
        <w:rPr>
          <w:rFonts w:ascii="Cambria" w:hAnsi="Cambria" w:cs="Palatino-Roman"/>
          <w:b/>
          <w:sz w:val="20"/>
          <w:lang w:val="en-US"/>
        </w:rPr>
        <w:t xml:space="preserve">; </w:t>
      </w:r>
    </w:p>
    <w:p w14:paraId="1E46CE09" w14:textId="77777777" w:rsidR="001B3C3F" w:rsidRPr="00E135D2" w:rsidRDefault="001B3C3F" w:rsidP="001B3C3F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b/>
          <w:sz w:val="20"/>
          <w:lang w:val="en-US"/>
        </w:rPr>
      </w:pPr>
      <w:proofErr w:type="spellStart"/>
      <w:r w:rsidRPr="00E135D2">
        <w:rPr>
          <w:rFonts w:ascii="Cambria" w:hAnsi="Cambria" w:cs="Palatino-Roman"/>
          <w:b/>
          <w:sz w:val="20"/>
          <w:lang w:val="en-US"/>
        </w:rPr>
        <w:t>SciELO</w:t>
      </w:r>
      <w:proofErr w:type="spellEnd"/>
      <w:r w:rsidRPr="00E135D2">
        <w:rPr>
          <w:rFonts w:ascii="Cambria" w:hAnsi="Cambria" w:cs="Palatino-Italic"/>
          <w:b/>
          <w:i/>
          <w:iCs/>
          <w:sz w:val="20"/>
          <w:lang w:val="en-US"/>
        </w:rPr>
        <w:t>/</w:t>
      </w:r>
      <w:r w:rsidRPr="00E135D2">
        <w:rPr>
          <w:rFonts w:ascii="Cambria" w:hAnsi="Cambria" w:cs="Palatino-Roman"/>
          <w:b/>
          <w:sz w:val="20"/>
          <w:lang w:val="en-US"/>
        </w:rPr>
        <w:t xml:space="preserve">Portugal – Scientific </w:t>
      </w:r>
      <w:proofErr w:type="spellStart"/>
      <w:r w:rsidRPr="00E135D2">
        <w:rPr>
          <w:rFonts w:ascii="Cambria" w:hAnsi="Cambria" w:cs="Palatino-Roman"/>
          <w:b/>
          <w:sz w:val="20"/>
          <w:lang w:val="en-US"/>
        </w:rPr>
        <w:t>Eletronic</w:t>
      </w:r>
      <w:proofErr w:type="spellEnd"/>
      <w:r w:rsidRPr="00E135D2">
        <w:rPr>
          <w:rFonts w:ascii="Cambria" w:hAnsi="Cambria" w:cs="Palatino-Roman"/>
          <w:b/>
          <w:sz w:val="20"/>
          <w:lang w:val="en-US"/>
        </w:rPr>
        <w:t xml:space="preserve"> Library Online, </w:t>
      </w:r>
      <w:proofErr w:type="spellStart"/>
      <w:r>
        <w:rPr>
          <w:rFonts w:ascii="Cambria" w:hAnsi="Cambria" w:cs="Palatino-Roman"/>
          <w:b/>
          <w:sz w:val="20"/>
          <w:lang w:val="en-US"/>
        </w:rPr>
        <w:t>desde</w:t>
      </w:r>
      <w:proofErr w:type="spellEnd"/>
      <w:r w:rsidRPr="00E135D2">
        <w:rPr>
          <w:rFonts w:ascii="Cambria" w:hAnsi="Cambria" w:cs="Palatino-Roman"/>
          <w:b/>
          <w:sz w:val="20"/>
          <w:lang w:val="en-US"/>
        </w:rPr>
        <w:t xml:space="preserve"> 2008: </w:t>
      </w:r>
      <w:hyperlink r:id="rId9" w:history="1">
        <w:r w:rsidRPr="00E135D2">
          <w:rPr>
            <w:rStyle w:val="Hiperligao"/>
            <w:rFonts w:ascii="Cambria" w:hAnsi="Cambria" w:cs="Palatino-Roman"/>
            <w:sz w:val="20"/>
            <w:lang w:val="en-US"/>
          </w:rPr>
          <w:t>http://www.scielo.mec.pt/scielo.php?script=sci_serial&amp;pid=0874-5560&amp;lng=pt</w:t>
        </w:r>
      </w:hyperlink>
      <w:r w:rsidRPr="00E135D2">
        <w:rPr>
          <w:rFonts w:ascii="Cambria" w:hAnsi="Cambria" w:cs="Palatino-Roman"/>
          <w:sz w:val="20"/>
          <w:lang w:val="en-US"/>
        </w:rPr>
        <w:t xml:space="preserve"> </w:t>
      </w:r>
      <w:r w:rsidRPr="00E135D2">
        <w:rPr>
          <w:rFonts w:ascii="Cambria" w:hAnsi="Cambria" w:cs="Palatino-Roman"/>
          <w:b/>
          <w:sz w:val="20"/>
          <w:lang w:val="en-US"/>
        </w:rPr>
        <w:t xml:space="preserve">; </w:t>
      </w:r>
    </w:p>
    <w:p w14:paraId="1D5AF2A2" w14:textId="6A996673" w:rsidR="001B3C3F" w:rsidRPr="00E135D2" w:rsidRDefault="001B3C3F" w:rsidP="001B3C3F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sz w:val="20"/>
        </w:rPr>
      </w:pPr>
      <w:r w:rsidRPr="00E135D2">
        <w:rPr>
          <w:rFonts w:ascii="Cambria" w:hAnsi="Cambria" w:cs="Palatino-Roman"/>
          <w:b/>
          <w:sz w:val="20"/>
        </w:rPr>
        <w:t xml:space="preserve">Catálogo </w:t>
      </w:r>
      <w:proofErr w:type="spellStart"/>
      <w:r w:rsidRPr="00E135D2">
        <w:rPr>
          <w:rFonts w:ascii="Cambria" w:hAnsi="Cambria" w:cs="Palatino-Roman"/>
          <w:b/>
          <w:sz w:val="20"/>
        </w:rPr>
        <w:t>Latindex</w:t>
      </w:r>
      <w:proofErr w:type="spellEnd"/>
      <w:r w:rsidRPr="00E135D2">
        <w:rPr>
          <w:rFonts w:ascii="Cambria" w:hAnsi="Cambria" w:cs="Palatino-Roman"/>
          <w:sz w:val="20"/>
        </w:rPr>
        <w:t xml:space="preserve"> – Sistema Regional de Información en Línea para Revistas Científicas de América Latina, el Caribe, España y Portugal: </w:t>
      </w:r>
      <w:hyperlink r:id="rId10" w:history="1">
        <w:r w:rsidRPr="00E135D2">
          <w:rPr>
            <w:rStyle w:val="Hiperligao"/>
            <w:rFonts w:ascii="Cambria" w:hAnsi="Cambria" w:cs="Palatino-Roman"/>
            <w:sz w:val="20"/>
          </w:rPr>
          <w:t>http://www.latindex.unam.mx/latindex/ficha?folio=14734</w:t>
        </w:r>
      </w:hyperlink>
      <w:r w:rsidRPr="00E135D2">
        <w:rPr>
          <w:rFonts w:ascii="Cambria" w:hAnsi="Cambria" w:cs="Palatino-Roman"/>
          <w:sz w:val="20"/>
        </w:rPr>
        <w:t xml:space="preserve"> ; </w:t>
      </w:r>
    </w:p>
    <w:p w14:paraId="451AEFA4" w14:textId="5280A4FB" w:rsidR="001B3C3F" w:rsidRDefault="001B3C3F" w:rsidP="001B3C3F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sz w:val="20"/>
          <w:lang w:val="en-US"/>
        </w:rPr>
      </w:pPr>
      <w:r w:rsidRPr="00BC3A89">
        <w:rPr>
          <w:rFonts w:ascii="Cambria" w:hAnsi="Cambria" w:cs="Palatino-Roman"/>
          <w:b/>
          <w:sz w:val="20"/>
          <w:lang w:val="en-US"/>
        </w:rPr>
        <w:t>ERIH PLUS (European Reference Index for the Humanities)</w:t>
      </w:r>
      <w:r w:rsidRPr="00BC3A89">
        <w:rPr>
          <w:rFonts w:ascii="Cambria" w:hAnsi="Cambria" w:cs="Palatino-Roman"/>
          <w:sz w:val="20"/>
          <w:lang w:val="en-US"/>
        </w:rPr>
        <w:t xml:space="preserve">: </w:t>
      </w:r>
      <w:hyperlink r:id="rId11" w:history="1">
        <w:r w:rsidRPr="00BC3A89">
          <w:rPr>
            <w:rStyle w:val="Hiperligao"/>
            <w:rFonts w:ascii="Cambria" w:hAnsi="Cambria" w:cs="Palatino-Roman"/>
            <w:sz w:val="20"/>
            <w:lang w:val="en-US"/>
          </w:rPr>
          <w:t>https://dbh.nsd.uib.no/publiseringskanaler/erihplus/periodical/info?id=482587</w:t>
        </w:r>
      </w:hyperlink>
      <w:r w:rsidRPr="00BC3A89">
        <w:rPr>
          <w:rFonts w:ascii="Cambria" w:hAnsi="Cambria" w:cs="Palatino-Roman"/>
          <w:sz w:val="20"/>
          <w:lang w:val="en-US"/>
        </w:rPr>
        <w:t>.</w:t>
      </w:r>
    </w:p>
    <w:p w14:paraId="613C4E9C" w14:textId="11172640" w:rsidR="00B962CB" w:rsidRPr="00B962CB" w:rsidRDefault="00B962CB" w:rsidP="001B3C3F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b/>
          <w:sz w:val="20"/>
          <w:lang w:val="en-US"/>
        </w:rPr>
      </w:pPr>
      <w:r w:rsidRPr="00B962CB">
        <w:rPr>
          <w:rFonts w:ascii="Cambria" w:hAnsi="Cambria" w:cs="Palatino-Roman"/>
          <w:b/>
          <w:sz w:val="20"/>
          <w:lang w:val="en-US"/>
        </w:rPr>
        <w:t>DOAJ (Directory of Open Access Journals)</w:t>
      </w:r>
      <w:r>
        <w:rPr>
          <w:rFonts w:ascii="Cambria" w:hAnsi="Cambria" w:cs="Palatino-Roman"/>
          <w:b/>
          <w:sz w:val="20"/>
          <w:lang w:val="en-US"/>
        </w:rPr>
        <w:t xml:space="preserve">: </w:t>
      </w:r>
      <w:r w:rsidRPr="00B962CB">
        <w:rPr>
          <w:rFonts w:ascii="Cambria" w:hAnsi="Cambria" w:cs="Palatino-Roman"/>
          <w:sz w:val="20"/>
          <w:lang w:val="en-US"/>
        </w:rPr>
        <w:t>https://doaj.org/</w:t>
      </w:r>
      <w:bookmarkStart w:id="0" w:name="_GoBack"/>
      <w:bookmarkEnd w:id="0"/>
    </w:p>
    <w:p w14:paraId="356848A9" w14:textId="77777777" w:rsidR="001B3C3F" w:rsidRPr="00BC3A89" w:rsidRDefault="001B3C3F" w:rsidP="001B3C3F">
      <w:pPr>
        <w:autoSpaceDE w:val="0"/>
        <w:autoSpaceDN w:val="0"/>
        <w:adjustRightInd w:val="0"/>
        <w:spacing w:after="120" w:line="240" w:lineRule="auto"/>
        <w:rPr>
          <w:rFonts w:ascii="Cambria" w:hAnsi="Cambria" w:cs="Palatino-Roman"/>
          <w:sz w:val="20"/>
        </w:rPr>
      </w:pPr>
      <w:r w:rsidRPr="00BC3A89">
        <w:rPr>
          <w:rFonts w:ascii="Cambria" w:hAnsi="Cambria" w:cstheme="minorHAnsi"/>
          <w:sz w:val="20"/>
          <w:szCs w:val="24"/>
        </w:rPr>
        <w:t>Por favor, revise toda la información sobre la revista en nuestro sitio web:</w:t>
      </w:r>
    </w:p>
    <w:p w14:paraId="7CB84C50" w14:textId="21264B2E" w:rsidR="001B3C3F" w:rsidRPr="00D3466B" w:rsidRDefault="001B3C3F" w:rsidP="001B3C3F">
      <w:pPr>
        <w:spacing w:line="240" w:lineRule="auto"/>
        <w:rPr>
          <w:rFonts w:ascii="Cambria" w:hAnsi="Cambria" w:cstheme="minorHAnsi"/>
          <w:color w:val="000000"/>
          <w:sz w:val="20"/>
          <w:szCs w:val="24"/>
        </w:rPr>
      </w:pPr>
      <w:hyperlink r:id="rId12" w:history="1">
        <w:r w:rsidRPr="00D3466B">
          <w:rPr>
            <w:rStyle w:val="Hiperligao"/>
            <w:rFonts w:ascii="Cambria" w:hAnsi="Cambria" w:cstheme="minorHAnsi"/>
            <w:sz w:val="20"/>
            <w:szCs w:val="24"/>
          </w:rPr>
          <w:t>http://exaequo.apem-estudos.org/page/numeros-publicados?lingua=en</w:t>
        </w:r>
      </w:hyperlink>
    </w:p>
    <w:p w14:paraId="086BF4FE" w14:textId="344F9438" w:rsidR="000902C0" w:rsidRPr="001B3C3F" w:rsidRDefault="000902C0" w:rsidP="00BB1207">
      <w:pPr>
        <w:spacing w:after="60"/>
        <w:ind w:right="-772"/>
        <w:jc w:val="both"/>
        <w:rPr>
          <w:rFonts w:ascii="Cambria" w:hAnsi="Cambria"/>
        </w:rPr>
      </w:pPr>
    </w:p>
    <w:p w14:paraId="0845DDE2" w14:textId="0E595AC8" w:rsidR="00BB1207" w:rsidRPr="001B3C3F" w:rsidRDefault="00BB1207" w:rsidP="00BB1207">
      <w:pPr>
        <w:spacing w:after="60"/>
        <w:ind w:right="-772"/>
        <w:rPr>
          <w:rStyle w:val="Hiperligao"/>
          <w:rFonts w:ascii="Cambria" w:hAnsi="Cambria"/>
        </w:rPr>
      </w:pPr>
    </w:p>
    <w:p w14:paraId="1F151BDF" w14:textId="2431381E" w:rsidR="00BB1207" w:rsidRPr="001B3C3F" w:rsidRDefault="00BB1207" w:rsidP="00F637E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sectPr w:rsidR="00BB1207" w:rsidRPr="001B3C3F" w:rsidSect="001F004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32E6"/>
    <w:multiLevelType w:val="hybridMultilevel"/>
    <w:tmpl w:val="C6F43B3C"/>
    <w:lvl w:ilvl="0" w:tplc="63123E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B71"/>
    <w:multiLevelType w:val="hybridMultilevel"/>
    <w:tmpl w:val="3AEAA29C"/>
    <w:lvl w:ilvl="0" w:tplc="C52A7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F5040"/>
    <w:multiLevelType w:val="hybridMultilevel"/>
    <w:tmpl w:val="F72C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43"/>
    <w:rsid w:val="00003976"/>
    <w:rsid w:val="00060749"/>
    <w:rsid w:val="000813F2"/>
    <w:rsid w:val="000902C0"/>
    <w:rsid w:val="000A3C6A"/>
    <w:rsid w:val="00102440"/>
    <w:rsid w:val="001109A0"/>
    <w:rsid w:val="00135E43"/>
    <w:rsid w:val="001510A7"/>
    <w:rsid w:val="00151AC4"/>
    <w:rsid w:val="0015236F"/>
    <w:rsid w:val="001558ED"/>
    <w:rsid w:val="001774B9"/>
    <w:rsid w:val="001A1522"/>
    <w:rsid w:val="001B3C3F"/>
    <w:rsid w:val="001E710F"/>
    <w:rsid w:val="001E77C9"/>
    <w:rsid w:val="001F0047"/>
    <w:rsid w:val="00267D60"/>
    <w:rsid w:val="002B45DC"/>
    <w:rsid w:val="002B5734"/>
    <w:rsid w:val="002C5FDC"/>
    <w:rsid w:val="002D3C1F"/>
    <w:rsid w:val="00327A4D"/>
    <w:rsid w:val="003B4ED9"/>
    <w:rsid w:val="003B6392"/>
    <w:rsid w:val="003E60B5"/>
    <w:rsid w:val="003F0B9D"/>
    <w:rsid w:val="00410B17"/>
    <w:rsid w:val="00463BE0"/>
    <w:rsid w:val="00493D2F"/>
    <w:rsid w:val="004C0A0E"/>
    <w:rsid w:val="004F1D7F"/>
    <w:rsid w:val="00556C8B"/>
    <w:rsid w:val="005900AA"/>
    <w:rsid w:val="0059071D"/>
    <w:rsid w:val="005A2083"/>
    <w:rsid w:val="005D4430"/>
    <w:rsid w:val="005E5CDD"/>
    <w:rsid w:val="006003BB"/>
    <w:rsid w:val="006020C6"/>
    <w:rsid w:val="00604F3A"/>
    <w:rsid w:val="006301E9"/>
    <w:rsid w:val="00661982"/>
    <w:rsid w:val="0069636F"/>
    <w:rsid w:val="006A6E63"/>
    <w:rsid w:val="007119CF"/>
    <w:rsid w:val="0071211B"/>
    <w:rsid w:val="00755A26"/>
    <w:rsid w:val="0075726B"/>
    <w:rsid w:val="00773409"/>
    <w:rsid w:val="00791EA8"/>
    <w:rsid w:val="0079737A"/>
    <w:rsid w:val="007A51A4"/>
    <w:rsid w:val="007C4049"/>
    <w:rsid w:val="007C4BC0"/>
    <w:rsid w:val="00801CCD"/>
    <w:rsid w:val="008571E3"/>
    <w:rsid w:val="00861708"/>
    <w:rsid w:val="00862E5F"/>
    <w:rsid w:val="008C1818"/>
    <w:rsid w:val="008C23DB"/>
    <w:rsid w:val="00915BB0"/>
    <w:rsid w:val="00930858"/>
    <w:rsid w:val="00940C76"/>
    <w:rsid w:val="00972454"/>
    <w:rsid w:val="00980EF4"/>
    <w:rsid w:val="00982A87"/>
    <w:rsid w:val="009C02BB"/>
    <w:rsid w:val="009C0F09"/>
    <w:rsid w:val="009C19FF"/>
    <w:rsid w:val="009F2845"/>
    <w:rsid w:val="00A14A9E"/>
    <w:rsid w:val="00AB78E0"/>
    <w:rsid w:val="00AE69AC"/>
    <w:rsid w:val="00AF0245"/>
    <w:rsid w:val="00B115AD"/>
    <w:rsid w:val="00B72386"/>
    <w:rsid w:val="00B962CB"/>
    <w:rsid w:val="00BB1207"/>
    <w:rsid w:val="00BD5BB9"/>
    <w:rsid w:val="00BE40F6"/>
    <w:rsid w:val="00BE4EFC"/>
    <w:rsid w:val="00BE501E"/>
    <w:rsid w:val="00BF67E4"/>
    <w:rsid w:val="00C92DD7"/>
    <w:rsid w:val="00CB4EB4"/>
    <w:rsid w:val="00CF0F4E"/>
    <w:rsid w:val="00DA5DDD"/>
    <w:rsid w:val="00E15754"/>
    <w:rsid w:val="00EE1462"/>
    <w:rsid w:val="00F234A8"/>
    <w:rsid w:val="00F474ED"/>
    <w:rsid w:val="00F637E3"/>
    <w:rsid w:val="00FA2B1F"/>
    <w:rsid w:val="00FC546C"/>
    <w:rsid w:val="00FD1B23"/>
    <w:rsid w:val="00FE2658"/>
    <w:rsid w:val="00FE68C6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6FBFD"/>
  <w15:docId w15:val="{29403151-0903-4B45-9CCB-6213D2B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4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6170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6170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6170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6170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61708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170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F1D7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5FDC"/>
    <w:pPr>
      <w:ind w:left="720"/>
      <w:contextualSpacing/>
    </w:pPr>
  </w:style>
  <w:style w:type="paragraph" w:customStyle="1" w:styleId="Normal1">
    <w:name w:val="Normal1"/>
    <w:rsid w:val="00BB1207"/>
    <w:pPr>
      <w:spacing w:after="0"/>
    </w:pPr>
    <w:rPr>
      <w:rFonts w:ascii="Arial" w:eastAsia="Arial" w:hAnsi="Arial" w:cs="Helvetica"/>
      <w:color w:val="000000"/>
      <w:lang w:val="en-US" w:eastAsia="en-US"/>
    </w:rPr>
  </w:style>
  <w:style w:type="character" w:styleId="Forte">
    <w:name w:val="Strong"/>
    <w:uiPriority w:val="22"/>
    <w:qFormat/>
    <w:rsid w:val="000902C0"/>
    <w:rPr>
      <w:b/>
      <w:bCs/>
    </w:rPr>
  </w:style>
  <w:style w:type="character" w:customStyle="1" w:styleId="apple-converted-space">
    <w:name w:val="apple-converted-space"/>
    <w:basedOn w:val="Tipodeletrapredefinidodopargrafo"/>
    <w:rsid w:val="000902C0"/>
  </w:style>
  <w:style w:type="character" w:styleId="nfase">
    <w:name w:val="Emphasis"/>
    <w:basedOn w:val="Tipodeletrapredefinidodopargrafo"/>
    <w:uiPriority w:val="20"/>
    <w:qFormat/>
    <w:rsid w:val="00090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SCIEL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netcabo.pt/exchweb/bin/redir.asp?URL=http://alfa.fct.mctes.pt/apoios/facc/estatisticas/periodicos_2002_2006%23sociais" TargetMode="External"/><Relationship Id="rId12" Type="http://schemas.openxmlformats.org/officeDocument/2006/relationships/hyperlink" Target="http://exaequo.apem-estudos.org/page/numeros-publicados?lingua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bh.nsd.uib.no/publiseringskanaler/erihplus/periodical/info?id=482587" TargetMode="External"/><Relationship Id="rId5" Type="http://schemas.openxmlformats.org/officeDocument/2006/relationships/hyperlink" Target="mailto:apem1991@gmail.com" TargetMode="External"/><Relationship Id="rId10" Type="http://schemas.openxmlformats.org/officeDocument/2006/relationships/hyperlink" Target="http://www.latindex.unam.mx/latindex/ficha?folio=147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mec.pt/scielo.php?script=sci_serial&amp;pid=0874-5560&amp;lng=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Henriques</dc:creator>
  <cp:lastModifiedBy>ZZZ</cp:lastModifiedBy>
  <cp:revision>6</cp:revision>
  <dcterms:created xsi:type="dcterms:W3CDTF">2017-07-17T23:08:00Z</dcterms:created>
  <dcterms:modified xsi:type="dcterms:W3CDTF">2017-07-26T00:40:00Z</dcterms:modified>
</cp:coreProperties>
</file>