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9922" w:type="dxa"/>
        <w:tblLook w:val="04A0" w:firstRow="1" w:lastRow="0" w:firstColumn="1" w:lastColumn="0" w:noHBand="0" w:noVBand="1"/>
      </w:tblPr>
      <w:tblGrid>
        <w:gridCol w:w="6946"/>
        <w:gridCol w:w="2976"/>
      </w:tblGrid>
      <w:tr w:rsidR="00641EA0" w:rsidTr="00641EA0">
        <w:tc>
          <w:tcPr>
            <w:tcW w:w="6946" w:type="dxa"/>
            <w:tcBorders>
              <w:top w:val="nil"/>
              <w:left w:val="nil"/>
              <w:bottom w:val="nil"/>
              <w:right w:val="nil"/>
            </w:tcBorders>
          </w:tcPr>
          <w:p w:rsidR="00641EA0" w:rsidRDefault="00641EA0" w:rsidP="00641EA0">
            <w:pPr>
              <w:jc w:val="center"/>
            </w:pPr>
            <w:r w:rsidRPr="00641EA0">
              <w:rPr>
                <w:noProof/>
                <w:lang w:val="en-US" w:eastAsia="en-US"/>
              </w:rPr>
              <w:drawing>
                <wp:inline distT="0" distB="0" distL="0" distR="0">
                  <wp:extent cx="2171700" cy="507844"/>
                  <wp:effectExtent l="0" t="0" r="0" b="6985"/>
                  <wp:docPr id="1" name="Imagem 1" descr="D:\Ficheiros Virgínia Outubro 2007 actualizados set 2014\APEM\AA ex aequo\Instrumentos e procedimentos\Divulgação de números\Logo ex aeq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cheiros Virgínia Outubro 2007 actualizados set 2014\APEM\AA ex aequo\Instrumentos e procedimentos\Divulgação de números\Logo ex aequ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7429" cy="541922"/>
                          </a:xfrm>
                          <a:prstGeom prst="rect">
                            <a:avLst/>
                          </a:prstGeom>
                          <a:noFill/>
                          <a:ln>
                            <a:noFill/>
                          </a:ln>
                        </pic:spPr>
                      </pic:pic>
                    </a:graphicData>
                  </a:graphic>
                </wp:inline>
              </w:drawing>
            </w:r>
          </w:p>
          <w:p w:rsidR="00641EA0" w:rsidRDefault="00641EA0" w:rsidP="00641EA0">
            <w:pPr>
              <w:jc w:val="center"/>
            </w:pPr>
          </w:p>
          <w:p w:rsidR="00641EA0" w:rsidRDefault="00641EA0" w:rsidP="00641EA0">
            <w:pPr>
              <w:jc w:val="center"/>
            </w:pPr>
          </w:p>
          <w:p w:rsidR="00641EA0" w:rsidRDefault="0031123A" w:rsidP="00641EA0">
            <w:pPr>
              <w:jc w:val="center"/>
              <w:rPr>
                <w:rFonts w:ascii="Cambria" w:hAnsi="Cambria"/>
                <w:lang w:val="es-ES"/>
              </w:rPr>
            </w:pPr>
            <w:r w:rsidRPr="0031123A">
              <w:rPr>
                <w:rFonts w:ascii="Cambria" w:hAnsi="Cambria"/>
                <w:lang w:val="es-ES"/>
              </w:rPr>
              <w:t xml:space="preserve">LLAMADA DE </w:t>
            </w:r>
            <w:proofErr w:type="spellStart"/>
            <w:r w:rsidRPr="0031123A">
              <w:rPr>
                <w:rFonts w:ascii="Cambria" w:hAnsi="Cambria"/>
                <w:lang w:val="es-ES"/>
              </w:rPr>
              <w:t>ARTíCULOS</w:t>
            </w:r>
            <w:proofErr w:type="spellEnd"/>
          </w:p>
          <w:p w:rsidR="007575BF" w:rsidRPr="0031123A" w:rsidRDefault="007575BF" w:rsidP="00641EA0">
            <w:pPr>
              <w:jc w:val="center"/>
              <w:rPr>
                <w:lang w:val="es-ES"/>
              </w:rPr>
            </w:pPr>
          </w:p>
          <w:p w:rsidR="00641EA0" w:rsidRPr="0031123A" w:rsidRDefault="00641EA0" w:rsidP="00641EA0">
            <w:pPr>
              <w:jc w:val="center"/>
              <w:rPr>
                <w:lang w:val="es-ES"/>
              </w:rPr>
            </w:pPr>
          </w:p>
          <w:p w:rsidR="007575BF" w:rsidRDefault="0031123A" w:rsidP="00641EA0">
            <w:pPr>
              <w:spacing w:line="276" w:lineRule="auto"/>
              <w:jc w:val="center"/>
              <w:rPr>
                <w:rFonts w:asciiTheme="minorHAnsi" w:hAnsiTheme="minorHAnsi"/>
                <w:b/>
                <w:color w:val="833C0B" w:themeColor="accent2" w:themeShade="80"/>
                <w:sz w:val="32"/>
                <w:lang w:val="es-ES"/>
              </w:rPr>
            </w:pPr>
            <w:r w:rsidRPr="0031123A">
              <w:rPr>
                <w:rFonts w:asciiTheme="minorHAnsi" w:hAnsiTheme="minorHAnsi"/>
                <w:b/>
                <w:color w:val="833C0B" w:themeColor="accent2" w:themeShade="80"/>
                <w:sz w:val="32"/>
                <w:lang w:val="es-ES"/>
              </w:rPr>
              <w:t xml:space="preserve">Mujeres en la prensa colonial: </w:t>
            </w:r>
          </w:p>
          <w:p w:rsidR="00641EA0" w:rsidRDefault="0031123A" w:rsidP="00641EA0">
            <w:pPr>
              <w:spacing w:line="276" w:lineRule="auto"/>
              <w:jc w:val="center"/>
              <w:rPr>
                <w:rFonts w:asciiTheme="minorHAnsi" w:hAnsiTheme="minorHAnsi"/>
                <w:b/>
                <w:color w:val="833C0B" w:themeColor="accent2" w:themeShade="80"/>
                <w:sz w:val="32"/>
                <w:lang w:val="es-ES"/>
              </w:rPr>
            </w:pPr>
            <w:r w:rsidRPr="0031123A">
              <w:rPr>
                <w:rFonts w:asciiTheme="minorHAnsi" w:hAnsiTheme="minorHAnsi"/>
                <w:b/>
                <w:color w:val="833C0B" w:themeColor="accent2" w:themeShade="80"/>
                <w:sz w:val="32"/>
                <w:lang w:val="es-ES"/>
              </w:rPr>
              <w:t xml:space="preserve">discursos y representaciones </w:t>
            </w:r>
          </w:p>
          <w:p w:rsidR="007575BF" w:rsidRPr="0031123A" w:rsidRDefault="007575BF" w:rsidP="00641EA0">
            <w:pPr>
              <w:spacing w:line="276" w:lineRule="auto"/>
              <w:jc w:val="center"/>
              <w:rPr>
                <w:rFonts w:asciiTheme="minorHAnsi" w:hAnsiTheme="minorHAnsi"/>
                <w:sz w:val="28"/>
                <w:lang w:val="es-ES"/>
              </w:rPr>
            </w:pPr>
          </w:p>
          <w:p w:rsidR="00641EA0" w:rsidRPr="002920AB" w:rsidRDefault="00641EA0" w:rsidP="00641EA0">
            <w:pPr>
              <w:spacing w:line="276" w:lineRule="auto"/>
              <w:rPr>
                <w:rFonts w:asciiTheme="minorHAnsi" w:hAnsiTheme="minorHAnsi"/>
                <w:sz w:val="28"/>
                <w:lang w:val="es-ES"/>
              </w:rPr>
            </w:pPr>
            <w:proofErr w:type="spellStart"/>
            <w:r w:rsidRPr="002920AB">
              <w:rPr>
                <w:rFonts w:asciiTheme="minorHAnsi" w:hAnsiTheme="minorHAnsi"/>
                <w:sz w:val="28"/>
                <w:lang w:val="es-ES"/>
              </w:rPr>
              <w:t>Coordination</w:t>
            </w:r>
            <w:proofErr w:type="spellEnd"/>
            <w:r w:rsidRPr="002920AB">
              <w:rPr>
                <w:rFonts w:asciiTheme="minorHAnsi" w:hAnsiTheme="minorHAnsi"/>
                <w:sz w:val="28"/>
                <w:lang w:val="es-ES"/>
              </w:rPr>
              <w:t xml:space="preserve">: </w:t>
            </w:r>
            <w:r w:rsidRPr="002920AB">
              <w:rPr>
                <w:rFonts w:asciiTheme="minorHAnsi" w:hAnsiTheme="minorHAnsi"/>
                <w:b/>
                <w:sz w:val="28"/>
                <w:lang w:val="es-ES"/>
              </w:rPr>
              <w:t xml:space="preserve">Jessica </w:t>
            </w:r>
            <w:proofErr w:type="spellStart"/>
            <w:r w:rsidRPr="002920AB">
              <w:rPr>
                <w:rFonts w:asciiTheme="minorHAnsi" w:hAnsiTheme="minorHAnsi"/>
                <w:b/>
                <w:sz w:val="28"/>
                <w:lang w:val="es-ES"/>
              </w:rPr>
              <w:t>Falconi</w:t>
            </w:r>
            <w:proofErr w:type="spellEnd"/>
            <w:r w:rsidRPr="002920AB">
              <w:rPr>
                <w:rFonts w:asciiTheme="minorHAnsi" w:hAnsiTheme="minorHAnsi"/>
                <w:b/>
                <w:sz w:val="28"/>
                <w:lang w:val="es-ES"/>
              </w:rPr>
              <w:t xml:space="preserve"> </w:t>
            </w:r>
            <w:r w:rsidRPr="002920AB">
              <w:rPr>
                <w:rFonts w:asciiTheme="minorHAnsi" w:hAnsiTheme="minorHAnsi"/>
                <w:sz w:val="28"/>
                <w:lang w:val="es-ES"/>
              </w:rPr>
              <w:t>(</w:t>
            </w:r>
            <w:proofErr w:type="spellStart"/>
            <w:r w:rsidRPr="002920AB">
              <w:rPr>
                <w:rFonts w:asciiTheme="minorHAnsi" w:hAnsiTheme="minorHAnsi"/>
                <w:sz w:val="28"/>
                <w:lang w:val="es-ES"/>
              </w:rPr>
              <w:t>CEsA-ULisboa</w:t>
            </w:r>
            <w:proofErr w:type="spellEnd"/>
            <w:r w:rsidRPr="002920AB">
              <w:rPr>
                <w:rFonts w:asciiTheme="minorHAnsi" w:hAnsiTheme="minorHAnsi"/>
                <w:sz w:val="28"/>
                <w:lang w:val="es-ES"/>
              </w:rPr>
              <w:t xml:space="preserve">) </w:t>
            </w:r>
          </w:p>
          <w:p w:rsidR="00641EA0" w:rsidRPr="002920AB" w:rsidRDefault="00641EA0" w:rsidP="00641EA0">
            <w:pPr>
              <w:spacing w:line="276" w:lineRule="auto"/>
              <w:ind w:left="1588"/>
              <w:rPr>
                <w:rFonts w:asciiTheme="minorHAnsi" w:hAnsiTheme="minorHAnsi"/>
                <w:sz w:val="28"/>
                <w:lang w:val="es-ES"/>
              </w:rPr>
            </w:pPr>
            <w:r w:rsidRPr="002920AB">
              <w:rPr>
                <w:rFonts w:asciiTheme="minorHAnsi" w:hAnsiTheme="minorHAnsi"/>
                <w:b/>
                <w:sz w:val="28"/>
                <w:lang w:val="es-ES"/>
              </w:rPr>
              <w:t xml:space="preserve">Doris </w:t>
            </w:r>
            <w:proofErr w:type="spellStart"/>
            <w:r w:rsidRPr="002920AB">
              <w:rPr>
                <w:rFonts w:asciiTheme="minorHAnsi" w:hAnsiTheme="minorHAnsi"/>
                <w:b/>
                <w:sz w:val="28"/>
                <w:lang w:val="es-ES"/>
              </w:rPr>
              <w:t>Wieser</w:t>
            </w:r>
            <w:proofErr w:type="spellEnd"/>
            <w:r w:rsidRPr="002920AB">
              <w:rPr>
                <w:rFonts w:asciiTheme="minorHAnsi" w:hAnsiTheme="minorHAnsi"/>
                <w:sz w:val="28"/>
                <w:lang w:val="es-ES"/>
              </w:rPr>
              <w:t xml:space="preserve"> (CEC-FLUL)</w:t>
            </w:r>
          </w:p>
          <w:p w:rsidR="00641EA0" w:rsidRPr="002920AB" w:rsidRDefault="00641EA0" w:rsidP="00641EA0">
            <w:pPr>
              <w:spacing w:line="276" w:lineRule="auto"/>
              <w:jc w:val="center"/>
              <w:rPr>
                <w:rFonts w:asciiTheme="minorHAnsi" w:hAnsiTheme="minorHAnsi"/>
                <w:sz w:val="28"/>
                <w:lang w:val="es-ES"/>
              </w:rPr>
            </w:pPr>
          </w:p>
          <w:p w:rsidR="007575BF" w:rsidRDefault="00CE4987" w:rsidP="00641EA0">
            <w:pPr>
              <w:jc w:val="center"/>
              <w:rPr>
                <w:b/>
                <w:lang w:val="es-ES"/>
              </w:rPr>
            </w:pPr>
            <w:r>
              <w:rPr>
                <w:b/>
                <w:lang w:val="es-ES"/>
              </w:rPr>
              <w:t>PLAZO DE ENVÍO – 30</w:t>
            </w:r>
            <w:r w:rsidR="007575BF" w:rsidRPr="006A2493">
              <w:rPr>
                <w:b/>
                <w:lang w:val="es-ES"/>
              </w:rPr>
              <w:t xml:space="preserve"> NOVIEMBRE 2018 </w:t>
            </w:r>
          </w:p>
          <w:p w:rsidR="00641EA0" w:rsidRPr="007575BF" w:rsidRDefault="007575BF" w:rsidP="00641EA0">
            <w:pPr>
              <w:jc w:val="center"/>
              <w:rPr>
                <w:lang w:val="es-ES"/>
              </w:rPr>
            </w:pPr>
            <w:r w:rsidRPr="006A2493">
              <w:rPr>
                <w:b/>
                <w:lang w:val="es-ES"/>
              </w:rPr>
              <w:t>(a publicar en junio 2019)</w:t>
            </w:r>
          </w:p>
        </w:tc>
        <w:tc>
          <w:tcPr>
            <w:tcW w:w="2976" w:type="dxa"/>
            <w:tcBorders>
              <w:top w:val="nil"/>
              <w:left w:val="nil"/>
              <w:bottom w:val="nil"/>
              <w:right w:val="nil"/>
            </w:tcBorders>
          </w:tcPr>
          <w:p w:rsidR="00641EA0" w:rsidRDefault="002920AB" w:rsidP="00641EA0">
            <w:pPr>
              <w:spacing w:line="360" w:lineRule="auto"/>
              <w:jc w:val="center"/>
              <w:rPr>
                <w:rFonts w:ascii="Arial" w:hAnsi="Arial" w:cs="Arial"/>
                <w:noProof/>
                <w:color w:val="A25D5D"/>
                <w:spacing w:val="-14"/>
                <w:sz w:val="27"/>
                <w:szCs w:val="27"/>
                <w:bdr w:val="none" w:sz="0" w:space="0" w:color="auto" w:frame="1"/>
              </w:rPr>
            </w:pPr>
            <w:r>
              <w:rPr>
                <w:rFonts w:ascii="Arial" w:hAnsi="Arial" w:cs="Arial"/>
                <w:noProof/>
                <w:color w:val="A25D5D"/>
                <w:spacing w:val="-14"/>
                <w:sz w:val="27"/>
                <w:szCs w:val="27"/>
                <w:bdr w:val="none" w:sz="0" w:space="0" w:color="auto" w:frame="1"/>
              </w:rPr>
              <w:t>S</w:t>
            </w:r>
            <w:r w:rsidRPr="002920AB">
              <w:rPr>
                <w:rFonts w:ascii="Arial" w:hAnsi="Arial" w:cs="Arial"/>
                <w:noProof/>
                <w:color w:val="A25D5D"/>
                <w:spacing w:val="-14"/>
                <w:sz w:val="27"/>
                <w:szCs w:val="27"/>
                <w:bdr w:val="none" w:sz="0" w:space="0" w:color="auto" w:frame="1"/>
              </w:rPr>
              <w:t>olicitud aceptada</w:t>
            </w:r>
            <w:r w:rsidR="00641EA0">
              <w:rPr>
                <w:rFonts w:ascii="Arial" w:hAnsi="Arial" w:cs="Arial"/>
                <w:noProof/>
                <w:color w:val="A25D5D"/>
                <w:spacing w:val="-14"/>
                <w:sz w:val="27"/>
                <w:szCs w:val="27"/>
                <w:bdr w:val="none" w:sz="0" w:space="0" w:color="auto" w:frame="1"/>
              </w:rPr>
              <w:t>:</w:t>
            </w:r>
          </w:p>
          <w:p w:rsidR="00641EA0" w:rsidRPr="00062F07"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5D01FC34" wp14:editId="30352E09">
                  <wp:extent cx="1126828" cy="346098"/>
                  <wp:effectExtent l="0" t="0" r="0" b="0"/>
                  <wp:docPr id="8" name="Imagem 8" descr="http://exaequo.apem-estudos.org/theme/apem/images/scopus.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aequo.apem-estudos.org/theme/apem/images/scopus.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387" cy="369613"/>
                          </a:xfrm>
                          <a:prstGeom prst="rect">
                            <a:avLst/>
                          </a:prstGeom>
                          <a:noFill/>
                          <a:ln>
                            <a:noFill/>
                          </a:ln>
                        </pic:spPr>
                      </pic:pic>
                    </a:graphicData>
                  </a:graphic>
                </wp:inline>
              </w:drawing>
            </w:r>
          </w:p>
          <w:p w:rsidR="00641EA0" w:rsidRDefault="002920AB" w:rsidP="00641EA0">
            <w:pPr>
              <w:spacing w:line="360" w:lineRule="auto"/>
              <w:jc w:val="center"/>
              <w:rPr>
                <w:rFonts w:ascii="Arial" w:hAnsi="Arial" w:cs="Arial"/>
                <w:noProof/>
                <w:color w:val="A25D5D"/>
                <w:spacing w:val="-14"/>
                <w:sz w:val="27"/>
                <w:szCs w:val="27"/>
                <w:bdr w:val="none" w:sz="0" w:space="0" w:color="auto" w:frame="1"/>
              </w:rPr>
            </w:pPr>
            <w:r w:rsidRPr="002920AB">
              <w:rPr>
                <w:rFonts w:ascii="Arial" w:hAnsi="Arial" w:cs="Arial"/>
                <w:noProof/>
                <w:color w:val="A25D5D"/>
                <w:spacing w:val="-14"/>
                <w:sz w:val="27"/>
                <w:szCs w:val="27"/>
                <w:bdr w:val="none" w:sz="0" w:space="0" w:color="auto" w:frame="1"/>
              </w:rPr>
              <w:t>Ya indexada</w:t>
            </w:r>
            <w:r w:rsidR="00641EA0">
              <w:rPr>
                <w:rFonts w:ascii="Arial" w:hAnsi="Arial" w:cs="Arial"/>
                <w:noProof/>
                <w:color w:val="A25D5D"/>
                <w:spacing w:val="-14"/>
                <w:sz w:val="27"/>
                <w:szCs w:val="27"/>
                <w:bdr w:val="none" w:sz="0" w:space="0" w:color="auto" w:frame="1"/>
              </w:rPr>
              <w:t>:</w:t>
            </w:r>
          </w:p>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0333CC44" wp14:editId="752FFAA2">
                  <wp:extent cx="1161025" cy="533697"/>
                  <wp:effectExtent l="0" t="0" r="1270" b="0"/>
                  <wp:docPr id="10" name="Imagem 10" descr="http://exaequo.apem-estudos.org/theme/apem/images/scielo.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aequo.apem-estudos.org/theme/apem/images/scielo.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237" cy="546206"/>
                          </a:xfrm>
                          <a:prstGeom prst="rect">
                            <a:avLst/>
                          </a:prstGeom>
                          <a:noFill/>
                          <a:ln>
                            <a:noFill/>
                          </a:ln>
                        </pic:spPr>
                      </pic:pic>
                    </a:graphicData>
                  </a:graphic>
                </wp:inline>
              </w:drawing>
            </w:r>
          </w:p>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4CAEFFF4" wp14:editId="709E2228">
                  <wp:extent cx="1376956" cy="366395"/>
                  <wp:effectExtent l="0" t="0" r="0" b="0"/>
                  <wp:docPr id="7" name="Imagem 7" descr="http://exaequo.apem-estudos.org/theme/apem/images/scielo_citation_index.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aequo.apem-estudos.org/theme/apem/images/scielo_citation_index.pn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103" cy="391180"/>
                          </a:xfrm>
                          <a:prstGeom prst="rect">
                            <a:avLst/>
                          </a:prstGeom>
                          <a:noFill/>
                          <a:ln>
                            <a:noFill/>
                          </a:ln>
                        </pic:spPr>
                      </pic:pic>
                    </a:graphicData>
                  </a:graphic>
                </wp:inline>
              </w:drawing>
            </w:r>
          </w:p>
          <w:p w:rsidR="00641EA0" w:rsidRPr="00892334"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D9155A8" wp14:editId="4B901B6C">
                  <wp:extent cx="1227667" cy="294640"/>
                  <wp:effectExtent l="0" t="0" r="0" b="0"/>
                  <wp:docPr id="4" name="Imagem 4" descr="http://exaequo.apem-estudos.org/theme/apem/images/doaj.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aequo.apem-estudos.org/theme/apem/images/doaj.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131" cy="305311"/>
                          </a:xfrm>
                          <a:prstGeom prst="rect">
                            <a:avLst/>
                          </a:prstGeom>
                          <a:noFill/>
                          <a:ln>
                            <a:noFill/>
                          </a:ln>
                        </pic:spPr>
                      </pic:pic>
                    </a:graphicData>
                  </a:graphic>
                </wp:inline>
              </w:drawing>
            </w:r>
          </w:p>
          <w:p w:rsidR="00641EA0"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278CEC8" wp14:editId="1FA1B29D">
                  <wp:extent cx="1277547" cy="376373"/>
                  <wp:effectExtent l="0" t="0" r="0" b="5080"/>
                  <wp:docPr id="3" name="Imagem 3" descr="http://exaequo.apem-estudos.org/theme/apem/images/erihplu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xaequo.apem-estudos.org/theme/apem/images/erihplus.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125" cy="393925"/>
                          </a:xfrm>
                          <a:prstGeom prst="rect">
                            <a:avLst/>
                          </a:prstGeom>
                          <a:noFill/>
                          <a:ln>
                            <a:noFill/>
                          </a:ln>
                        </pic:spPr>
                      </pic:pic>
                    </a:graphicData>
                  </a:graphic>
                </wp:inline>
              </w:drawing>
            </w:r>
          </w:p>
          <w:p w:rsidR="00641EA0" w:rsidRPr="00641EA0"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194DF081" wp14:editId="5E103291">
                  <wp:extent cx="1356404" cy="619125"/>
                  <wp:effectExtent l="0" t="0" r="0" b="0"/>
                  <wp:docPr id="2" name="Imagem 2" descr="http://exaequo.apem-estudos.org/theme/apem/images/latindex.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xaequo.apem-estudos.org/theme/apem/images/latindex.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074" cy="623539"/>
                          </a:xfrm>
                          <a:prstGeom prst="rect">
                            <a:avLst/>
                          </a:prstGeom>
                          <a:noFill/>
                          <a:ln>
                            <a:noFill/>
                          </a:ln>
                        </pic:spPr>
                      </pic:pic>
                    </a:graphicData>
                  </a:graphic>
                </wp:inline>
              </w:drawing>
            </w:r>
          </w:p>
        </w:tc>
      </w:tr>
      <w:tr w:rsidR="00641EA0" w:rsidTr="00641EA0">
        <w:tc>
          <w:tcPr>
            <w:tcW w:w="6946" w:type="dxa"/>
            <w:tcBorders>
              <w:top w:val="nil"/>
              <w:left w:val="nil"/>
              <w:bottom w:val="nil"/>
              <w:right w:val="nil"/>
            </w:tcBorders>
          </w:tcPr>
          <w:p w:rsidR="00641EA0" w:rsidRDefault="00641EA0"/>
        </w:tc>
        <w:tc>
          <w:tcPr>
            <w:tcW w:w="2976" w:type="dxa"/>
            <w:tcBorders>
              <w:top w:val="nil"/>
              <w:left w:val="nil"/>
              <w:bottom w:val="nil"/>
              <w:right w:val="nil"/>
            </w:tcBorders>
          </w:tcPr>
          <w:p w:rsidR="00641EA0" w:rsidRDefault="00641EA0"/>
        </w:tc>
      </w:tr>
    </w:tbl>
    <w:p w:rsidR="007575BF" w:rsidRPr="007575BF" w:rsidRDefault="007575BF" w:rsidP="007575BF">
      <w:pPr>
        <w:spacing w:after="120" w:line="276" w:lineRule="auto"/>
        <w:jc w:val="both"/>
        <w:rPr>
          <w:lang w:val="es-ES"/>
        </w:rPr>
      </w:pPr>
      <w:r w:rsidRPr="007575BF">
        <w:rPr>
          <w:lang w:val="es-ES"/>
        </w:rPr>
        <w:t xml:space="preserve">Este dossier tiene la intención de centrarse en la presencia de las mujeres en la prensa periódica colonial, entendida como archivo </w:t>
      </w:r>
      <w:proofErr w:type="spellStart"/>
      <w:r w:rsidRPr="007575BF">
        <w:rPr>
          <w:lang w:val="es-ES"/>
        </w:rPr>
        <w:t>multiple</w:t>
      </w:r>
      <w:proofErr w:type="spellEnd"/>
      <w:r w:rsidRPr="007575BF">
        <w:rPr>
          <w:lang w:val="es-ES"/>
        </w:rPr>
        <w:t xml:space="preserve"> y </w:t>
      </w:r>
      <w:proofErr w:type="spellStart"/>
      <w:r w:rsidRPr="007575BF">
        <w:rPr>
          <w:lang w:val="es-ES"/>
        </w:rPr>
        <w:t>multi</w:t>
      </w:r>
      <w:proofErr w:type="spellEnd"/>
      <w:r w:rsidRPr="007575BF">
        <w:rPr>
          <w:lang w:val="es-ES"/>
        </w:rPr>
        <w:t>-localizado, que incluye tanto las publicaciones periódicas basadas en las antiguas colonias portuguesas, como aquellas publicadas en la metrópolis, sobre temas coloniales. Se trata de un archivo productor de «redes de discurso» (</w:t>
      </w:r>
      <w:proofErr w:type="spellStart"/>
      <w:r w:rsidRPr="007575BF">
        <w:rPr>
          <w:lang w:val="es-ES"/>
        </w:rPr>
        <w:t>Helgesson</w:t>
      </w:r>
      <w:proofErr w:type="spellEnd"/>
      <w:r w:rsidRPr="007575BF">
        <w:rPr>
          <w:lang w:val="es-ES"/>
        </w:rPr>
        <w:t>, 2011) y de «historias conectadas» (</w:t>
      </w:r>
      <w:proofErr w:type="spellStart"/>
      <w:r w:rsidRPr="007575BF">
        <w:rPr>
          <w:lang w:val="es-ES"/>
        </w:rPr>
        <w:t>Codell</w:t>
      </w:r>
      <w:proofErr w:type="spellEnd"/>
      <w:r w:rsidRPr="007575BF">
        <w:rPr>
          <w:lang w:val="es-ES"/>
        </w:rPr>
        <w:t xml:space="preserve">, 2003), pero también de silencios y omisiones aún por señalar. En el ámbito de los estudios sobre la memoria cultural, el concepto de «archivo» se traduce en «memoria en depósito». Para </w:t>
      </w:r>
      <w:proofErr w:type="spellStart"/>
      <w:r w:rsidRPr="007575BF">
        <w:rPr>
          <w:lang w:val="es-ES"/>
        </w:rPr>
        <w:t>Assmann</w:t>
      </w:r>
      <w:proofErr w:type="spellEnd"/>
      <w:r w:rsidRPr="007575BF">
        <w:rPr>
          <w:lang w:val="es-ES"/>
        </w:rPr>
        <w:t xml:space="preserve"> (2011), ésta contiene elementos olvidados de la historia, que no han sido usados, pero que constituyen un depósito de conocimiento que puede ser aprovechado para un cambio o renovación de la «memoria en función» que está condicionada por las estructuras de poder vigentes. En este sentido, queremos preguntarnos en qué medida el estudio de la presencia de las mujeres en la prensa periódica colonial puede contribuir a la creación de una «memoria en función» diversificada, más inclusiva o incluso </w:t>
      </w:r>
      <w:proofErr w:type="spellStart"/>
      <w:r w:rsidRPr="007575BF">
        <w:rPr>
          <w:lang w:val="es-ES"/>
        </w:rPr>
        <w:t>contrahegemónica</w:t>
      </w:r>
      <w:proofErr w:type="spellEnd"/>
      <w:r w:rsidRPr="007575BF">
        <w:rPr>
          <w:lang w:val="es-ES"/>
        </w:rPr>
        <w:t>. Pretendemos interrogar este archivo, a partir también de la opacidad del concepto "mujeres" como sujeto sociológico unitario, especialmente cuando se aplica al contexto colonial, donde diferencias de clase, raza y etnicidad marcaron de forma significativas representaciones, discursos y posicionamientos políticos e ideológicos (</w:t>
      </w:r>
      <w:proofErr w:type="spellStart"/>
      <w:r w:rsidRPr="007575BF">
        <w:rPr>
          <w:lang w:val="es-ES"/>
        </w:rPr>
        <w:t>Midgley</w:t>
      </w:r>
      <w:proofErr w:type="spellEnd"/>
      <w:r w:rsidRPr="007575BF">
        <w:rPr>
          <w:lang w:val="es-ES"/>
        </w:rPr>
        <w:t xml:space="preserve">, 1998; </w:t>
      </w:r>
      <w:proofErr w:type="spellStart"/>
      <w:r w:rsidRPr="007575BF">
        <w:rPr>
          <w:lang w:val="es-ES"/>
        </w:rPr>
        <w:t>Levine</w:t>
      </w:r>
      <w:proofErr w:type="spellEnd"/>
      <w:r w:rsidRPr="007575BF">
        <w:rPr>
          <w:lang w:val="es-ES"/>
        </w:rPr>
        <w:t>, 2004).</w:t>
      </w:r>
    </w:p>
    <w:p w:rsidR="007575BF" w:rsidRPr="007575BF" w:rsidRDefault="007575BF" w:rsidP="007575BF">
      <w:pPr>
        <w:spacing w:after="120" w:line="276" w:lineRule="auto"/>
        <w:jc w:val="both"/>
        <w:rPr>
          <w:lang w:val="es-ES"/>
        </w:rPr>
      </w:pPr>
      <w:r w:rsidRPr="007575BF">
        <w:rPr>
          <w:lang w:val="es-ES"/>
        </w:rPr>
        <w:t xml:space="preserve">Por lo que atañe a la participación de las mujeres en los periódicos del imperio portugués, los estudios existentes se han centrado sobre todo en la colaboración literaria de voces prominentes de las literaturas de lengua portuguesa surgidas en las antiguas zonas coloniales (Owen, 2007; </w:t>
      </w:r>
      <w:proofErr w:type="spellStart"/>
      <w:r w:rsidRPr="007575BF">
        <w:rPr>
          <w:lang w:val="es-ES"/>
        </w:rPr>
        <w:t>Mendonça</w:t>
      </w:r>
      <w:proofErr w:type="spellEnd"/>
      <w:r w:rsidRPr="007575BF">
        <w:rPr>
          <w:lang w:val="es-ES"/>
        </w:rPr>
        <w:t xml:space="preserve">, 1989). Sin embargo, la colaboración de las mujeres, tanto en las llamadas «Páginas femeninas» o «Páginas de la mujer», como en otros ámbitos y materias, sigue estando por explorar </w:t>
      </w:r>
      <w:r w:rsidRPr="007575BF">
        <w:rPr>
          <w:lang w:val="es-ES"/>
        </w:rPr>
        <w:lastRenderedPageBreak/>
        <w:t>de forma más sistemática. A través de tópicos diversos, algunos de los cuales tradicionalmente asociados al mundo «femenino» (literatura, educación, higiene, cuidado doméstico, gastronomía, moda, etc.) se negocian, en estas páginas, construcciones de género, clase y raza; ideas de civilización y modernidad (</w:t>
      </w:r>
      <w:proofErr w:type="spellStart"/>
      <w:r w:rsidRPr="007575BF">
        <w:rPr>
          <w:lang w:val="es-ES"/>
        </w:rPr>
        <w:t>Havstad</w:t>
      </w:r>
      <w:proofErr w:type="spellEnd"/>
      <w:r w:rsidRPr="007575BF">
        <w:rPr>
          <w:lang w:val="es-ES"/>
        </w:rPr>
        <w:t>, 2016), así como tradiciones y valores locales y/o nacionales. Se negocian, también, reproducciones y/o contestaciones del discurso colonial, produciéndose posicionamientos ambivalentes, y narrativas tant</w:t>
      </w:r>
      <w:r>
        <w:rPr>
          <w:lang w:val="es-ES"/>
        </w:rPr>
        <w:t>o individuales como colectivas.</w:t>
      </w:r>
    </w:p>
    <w:p w:rsidR="007575BF" w:rsidRPr="007575BF" w:rsidRDefault="007575BF" w:rsidP="007575BF">
      <w:pPr>
        <w:spacing w:after="120" w:line="276" w:lineRule="auto"/>
        <w:jc w:val="both"/>
        <w:rPr>
          <w:lang w:val="es-ES"/>
        </w:rPr>
      </w:pPr>
      <w:r w:rsidRPr="007575BF">
        <w:rPr>
          <w:lang w:val="es-ES"/>
        </w:rPr>
        <w:t xml:space="preserve">Algunos de los tópicos relevantes, en este sentido, se refieren a las siguientes cuestiones: ¿Qué papel confería la prensa colonial a las mujeres como colaboradoras activas y cómo se evaluaban las actividades domésticas, económicas, políticas e intelectuales? ¿Qué lugares les estaban reservados y cuáles eran de difícil acceso? Teniendo en cuenta que una parte significativa de la colaboración en la prensa colonial provenía de mujeres blancas de la clase media, ¿de qué modo se evaluaba 'la carga de la mujer blanca' (Burton, 1990) y cómo se representaban las diferentes construcciones </w:t>
      </w:r>
      <w:proofErr w:type="spellStart"/>
      <w:r w:rsidRPr="007575BF">
        <w:rPr>
          <w:lang w:val="es-ES"/>
        </w:rPr>
        <w:t>racializadas</w:t>
      </w:r>
      <w:proofErr w:type="spellEnd"/>
      <w:r w:rsidRPr="007575BF">
        <w:rPr>
          <w:lang w:val="es-ES"/>
        </w:rPr>
        <w:t xml:space="preserve"> de las mujeres?</w:t>
      </w:r>
    </w:p>
    <w:p w:rsidR="00641EA0" w:rsidRPr="007575BF" w:rsidRDefault="007575BF" w:rsidP="007575BF">
      <w:pPr>
        <w:spacing w:after="120" w:line="276" w:lineRule="auto"/>
        <w:jc w:val="both"/>
        <w:rPr>
          <w:rFonts w:ascii="Cambria" w:hAnsi="Cambria"/>
          <w:lang w:val="es-ES"/>
        </w:rPr>
      </w:pPr>
      <w:r w:rsidRPr="007575BF">
        <w:rPr>
          <w:lang w:val="es-ES"/>
        </w:rPr>
        <w:t>A partir de estudios de caso o de reflexiones más amplias, pretendemos colocar el análisis de la presencia de las mujeres en la prensa periódica colonial en un área de intersección entre los estudios sobre el colonialismo y los estudios de género y de las mujeres. Por otra parte, dada la escasez de estudios llevados a cabo hasta la fecha sobre las mujeres en la prensa colonial del imperio portugués (</w:t>
      </w:r>
      <w:proofErr w:type="spellStart"/>
      <w:r w:rsidRPr="007575BF">
        <w:rPr>
          <w:lang w:val="es-ES"/>
        </w:rPr>
        <w:t>Havstad</w:t>
      </w:r>
      <w:proofErr w:type="spellEnd"/>
      <w:r w:rsidRPr="007575BF">
        <w:rPr>
          <w:lang w:val="es-ES"/>
        </w:rPr>
        <w:t xml:space="preserve"> 2016; Owen 2007), este dossier también tiene la intención de fomentar enfoques comparativos con los estudios sobre la mujer en la prensa colonial de otros orígenes lingüísticos como el anglófono, francófono o hispano. Sirva la bibliografía adjunta como primera fuente de inspiración o de apoyo en ese sentido</w:t>
      </w:r>
      <w:r w:rsidR="00104D33" w:rsidRPr="007575BF">
        <w:rPr>
          <w:lang w:val="es-ES"/>
        </w:rPr>
        <w:t>.</w:t>
      </w:r>
    </w:p>
    <w:p w:rsidR="00641EA0" w:rsidRPr="007575BF" w:rsidRDefault="007575BF" w:rsidP="007575BF">
      <w:pPr>
        <w:shd w:val="clear" w:color="auto" w:fill="FFFFFF"/>
        <w:spacing w:before="280" w:after="300"/>
        <w:rPr>
          <w:b/>
          <w:lang w:val="en-US"/>
        </w:rPr>
      </w:pPr>
      <w:proofErr w:type="spellStart"/>
      <w:r w:rsidRPr="00495F21">
        <w:rPr>
          <w:b/>
          <w:lang w:val="en-US"/>
        </w:rPr>
        <w:t>Refer</w:t>
      </w:r>
      <w:r>
        <w:rPr>
          <w:b/>
          <w:lang w:val="en-US"/>
        </w:rPr>
        <w:t>e</w:t>
      </w:r>
      <w:r w:rsidRPr="00495F21">
        <w:rPr>
          <w:b/>
          <w:lang w:val="en-US"/>
        </w:rPr>
        <w:t>ncias</w:t>
      </w:r>
      <w:proofErr w:type="spellEnd"/>
      <w:r w:rsidRPr="00495F21">
        <w:rPr>
          <w:b/>
          <w:lang w:val="en-US"/>
        </w:rPr>
        <w:t xml:space="preserve"> </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Assmann</w:t>
      </w:r>
      <w:proofErr w:type="spellEnd"/>
      <w:r w:rsidRPr="00641EA0">
        <w:rPr>
          <w:rFonts w:ascii="Cambria" w:hAnsi="Cambria"/>
          <w:lang w:val="en-GB"/>
        </w:rPr>
        <w:t xml:space="preserve">, </w:t>
      </w:r>
      <w:proofErr w:type="spellStart"/>
      <w:r w:rsidRPr="00641EA0">
        <w:rPr>
          <w:rFonts w:ascii="Cambria" w:hAnsi="Cambria"/>
          <w:lang w:val="en-GB"/>
        </w:rPr>
        <w:t>Aleida</w:t>
      </w:r>
      <w:proofErr w:type="spellEnd"/>
      <w:r w:rsidRPr="00641EA0">
        <w:rPr>
          <w:rFonts w:ascii="Cambria" w:hAnsi="Cambria"/>
          <w:lang w:val="en-GB"/>
        </w:rPr>
        <w:t xml:space="preserve">. 2011. </w:t>
      </w:r>
      <w:r w:rsidRPr="00641EA0">
        <w:rPr>
          <w:rFonts w:ascii="Cambria" w:hAnsi="Cambria"/>
          <w:i/>
          <w:lang w:val="en-GB"/>
        </w:rPr>
        <w:t xml:space="preserve">Cultural Memory and Western Civilization: Functions, Media, Archives. </w:t>
      </w:r>
      <w:r w:rsidRPr="00641EA0">
        <w:rPr>
          <w:rFonts w:ascii="Cambria" w:hAnsi="Cambria"/>
          <w:lang w:val="en-GB"/>
        </w:rPr>
        <w:t xml:space="preserve">Cambridge: Cambridge University Press. </w:t>
      </w:r>
    </w:p>
    <w:p w:rsidR="00641EA0" w:rsidRPr="00641EA0" w:rsidRDefault="00641EA0" w:rsidP="00641EA0">
      <w:pPr>
        <w:spacing w:after="60" w:line="259" w:lineRule="auto"/>
        <w:ind w:left="284" w:hanging="284"/>
        <w:rPr>
          <w:rFonts w:ascii="Cambria" w:hAnsi="Cambria"/>
          <w:lang w:val="en-GB"/>
        </w:rPr>
      </w:pPr>
      <w:r w:rsidRPr="00641EA0">
        <w:rPr>
          <w:rFonts w:ascii="Cambria" w:hAnsi="Cambria"/>
          <w:lang w:val="en-GB"/>
        </w:rPr>
        <w:t xml:space="preserve">Burton, Antoinette M. 1990. “The white woman's burden: British feminists and the Indian woman, 1865–1915”. </w:t>
      </w:r>
      <w:r w:rsidRPr="00641EA0">
        <w:rPr>
          <w:rFonts w:ascii="Cambria" w:hAnsi="Cambria"/>
          <w:i/>
          <w:lang w:val="en-GB"/>
        </w:rPr>
        <w:t>Women's Studies International Forum</w:t>
      </w:r>
      <w:r w:rsidRPr="00641EA0">
        <w:rPr>
          <w:rFonts w:ascii="Cambria" w:hAnsi="Cambria"/>
          <w:lang w:val="en-GB"/>
        </w:rPr>
        <w:t xml:space="preserve"> (13: 4): 295-308. </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Codell</w:t>
      </w:r>
      <w:proofErr w:type="spellEnd"/>
      <w:r w:rsidRPr="00641EA0">
        <w:rPr>
          <w:rFonts w:ascii="Cambria" w:hAnsi="Cambria"/>
          <w:lang w:val="en-GB"/>
        </w:rPr>
        <w:t>, Julie F., org. 2003</w:t>
      </w:r>
      <w:r w:rsidRPr="00641EA0">
        <w:rPr>
          <w:rFonts w:ascii="Cambria" w:hAnsi="Cambria"/>
          <w:i/>
          <w:lang w:val="en-GB"/>
        </w:rPr>
        <w:t>. Imperial Co-histories: National Identities and the British and Colonial Press</w:t>
      </w:r>
      <w:r w:rsidRPr="00641EA0">
        <w:rPr>
          <w:rFonts w:ascii="Cambria" w:hAnsi="Cambria"/>
          <w:lang w:val="en-GB"/>
        </w:rPr>
        <w:t>. Madison and Teaneck, NJ: Fairleigh Dickinson University Press; London: Associated University Press.</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n-GB"/>
        </w:rPr>
        <w:t xml:space="preserve">Brown, Megan. 2006. “A Literary Fortune: Mary Fortune's Life in the Colonial Periodical Press”. In </w:t>
      </w:r>
      <w:r w:rsidRPr="00641EA0">
        <w:rPr>
          <w:rFonts w:ascii="Cambria" w:hAnsi="Cambria"/>
          <w:i/>
          <w:lang w:val="en-GB"/>
        </w:rPr>
        <w:t xml:space="preserve">The Unsociable Sociability of Women's </w:t>
      </w:r>
      <w:proofErr w:type="spellStart"/>
      <w:r w:rsidRPr="00641EA0">
        <w:rPr>
          <w:rFonts w:ascii="Cambria" w:hAnsi="Cambria"/>
          <w:i/>
          <w:lang w:val="en-GB"/>
        </w:rPr>
        <w:t>Lifewriting</w:t>
      </w:r>
      <w:proofErr w:type="spellEnd"/>
      <w:r w:rsidRPr="00641EA0">
        <w:rPr>
          <w:rFonts w:ascii="Cambria" w:hAnsi="Cambria"/>
          <w:lang w:val="en-GB"/>
        </w:rPr>
        <w:t xml:space="preserve">, </w:t>
      </w:r>
      <w:proofErr w:type="spellStart"/>
      <w:r w:rsidRPr="00641EA0">
        <w:rPr>
          <w:rFonts w:ascii="Cambria" w:hAnsi="Cambria"/>
          <w:lang w:val="en-GB"/>
        </w:rPr>
        <w:t>organizado</w:t>
      </w:r>
      <w:proofErr w:type="spellEnd"/>
      <w:r w:rsidRPr="00641EA0">
        <w:rPr>
          <w:rFonts w:ascii="Cambria" w:hAnsi="Cambria"/>
          <w:lang w:val="en-GB"/>
        </w:rPr>
        <w:t xml:space="preserve"> </w:t>
      </w:r>
      <w:proofErr w:type="spellStart"/>
      <w:r w:rsidRPr="00641EA0">
        <w:rPr>
          <w:rFonts w:ascii="Cambria" w:hAnsi="Cambria"/>
          <w:lang w:val="en-GB"/>
        </w:rPr>
        <w:t>por</w:t>
      </w:r>
      <w:proofErr w:type="spellEnd"/>
      <w:r w:rsidRPr="00641EA0">
        <w:rPr>
          <w:rFonts w:ascii="Cambria" w:hAnsi="Cambria"/>
          <w:lang w:val="en-GB"/>
        </w:rPr>
        <w:t xml:space="preserve"> Anne </w:t>
      </w:r>
      <w:proofErr w:type="spellStart"/>
      <w:r w:rsidRPr="00641EA0">
        <w:rPr>
          <w:rFonts w:ascii="Cambria" w:hAnsi="Cambria"/>
          <w:lang w:val="en-GB"/>
        </w:rPr>
        <w:t>Collett</w:t>
      </w:r>
      <w:proofErr w:type="spellEnd"/>
      <w:r w:rsidRPr="00641EA0">
        <w:rPr>
          <w:rFonts w:ascii="Cambria" w:hAnsi="Cambria"/>
          <w:lang w:val="en-GB"/>
        </w:rPr>
        <w:t xml:space="preserve"> e Louise </w:t>
      </w:r>
      <w:proofErr w:type="spellStart"/>
      <w:r w:rsidRPr="00641EA0">
        <w:rPr>
          <w:rFonts w:ascii="Cambria" w:hAnsi="Cambria"/>
          <w:lang w:val="en-GB"/>
        </w:rPr>
        <w:t>D'Arcens</w:t>
      </w:r>
      <w:proofErr w:type="spellEnd"/>
      <w:r w:rsidRPr="00641EA0">
        <w:rPr>
          <w:rFonts w:ascii="Cambria" w:hAnsi="Cambria"/>
          <w:lang w:val="en-GB"/>
        </w:rPr>
        <w:t xml:space="preserve">, 128-147. </w:t>
      </w:r>
      <w:r w:rsidRPr="00641EA0">
        <w:rPr>
          <w:rFonts w:ascii="Cambria" w:hAnsi="Cambria"/>
          <w:lang w:val="es-ES"/>
        </w:rPr>
        <w:t xml:space="preserve">New York: </w:t>
      </w:r>
      <w:proofErr w:type="spellStart"/>
      <w:r w:rsidRPr="00641EA0">
        <w:rPr>
          <w:rFonts w:ascii="Cambria" w:hAnsi="Cambria"/>
          <w:lang w:val="es-ES"/>
        </w:rPr>
        <w:t>Palgrave</w:t>
      </w:r>
      <w:proofErr w:type="spellEnd"/>
      <w:r w:rsidRPr="00641EA0">
        <w:rPr>
          <w:rFonts w:ascii="Cambria" w:hAnsi="Cambria"/>
          <w:lang w:val="es-ES"/>
        </w:rPr>
        <w:t xml:space="preserve"> </w:t>
      </w:r>
      <w:proofErr w:type="spellStart"/>
      <w:r w:rsidRPr="00641EA0">
        <w:rPr>
          <w:rFonts w:ascii="Cambria" w:hAnsi="Cambria"/>
          <w:lang w:val="es-ES"/>
        </w:rPr>
        <w:t>Macmillan</w:t>
      </w:r>
      <w:proofErr w:type="spellEnd"/>
      <w:r w:rsidRPr="00641EA0">
        <w:rPr>
          <w:rFonts w:ascii="Cambria" w:hAnsi="Cambria"/>
          <w:lang w:val="es-ES"/>
        </w:rPr>
        <w:t xml:space="preserve">. </w:t>
      </w:r>
    </w:p>
    <w:p w:rsidR="00641EA0" w:rsidRPr="00641EA0" w:rsidRDefault="00641EA0" w:rsidP="00641EA0">
      <w:pPr>
        <w:spacing w:after="60" w:line="259" w:lineRule="auto"/>
        <w:ind w:left="284" w:hanging="284"/>
        <w:rPr>
          <w:rFonts w:ascii="Cambria" w:hAnsi="Cambria"/>
          <w:lang w:val="en-US"/>
        </w:rPr>
      </w:pPr>
      <w:r w:rsidRPr="00641EA0">
        <w:rPr>
          <w:rFonts w:ascii="Cambria" w:hAnsi="Cambria"/>
          <w:lang w:val="es-ES"/>
        </w:rPr>
        <w:t xml:space="preserve">García López, Ana Belén. 2011. “La participación de las mujeres en la independencia hispanoamericana a través de los medios de comunicación”. </w:t>
      </w:r>
      <w:proofErr w:type="spellStart"/>
      <w:r w:rsidRPr="00641EA0">
        <w:rPr>
          <w:rFonts w:ascii="Cambria" w:hAnsi="Cambria"/>
          <w:i/>
          <w:lang w:val="en-US"/>
        </w:rPr>
        <w:t>Historia</w:t>
      </w:r>
      <w:proofErr w:type="spellEnd"/>
      <w:r w:rsidRPr="00641EA0">
        <w:rPr>
          <w:rFonts w:ascii="Cambria" w:hAnsi="Cambria"/>
          <w:i/>
          <w:lang w:val="en-US"/>
        </w:rPr>
        <w:t xml:space="preserve"> y </w:t>
      </w:r>
      <w:proofErr w:type="spellStart"/>
      <w:r w:rsidRPr="00641EA0">
        <w:rPr>
          <w:rFonts w:ascii="Cambria" w:hAnsi="Cambria"/>
          <w:i/>
          <w:lang w:val="en-US"/>
        </w:rPr>
        <w:t>Comunicación</w:t>
      </w:r>
      <w:proofErr w:type="spellEnd"/>
      <w:r w:rsidRPr="00641EA0">
        <w:rPr>
          <w:rFonts w:ascii="Cambria" w:hAnsi="Cambria"/>
          <w:i/>
          <w:lang w:val="en-US"/>
        </w:rPr>
        <w:t xml:space="preserve"> Social</w:t>
      </w:r>
      <w:r w:rsidRPr="00641EA0">
        <w:rPr>
          <w:rFonts w:ascii="Cambria" w:hAnsi="Cambria"/>
          <w:lang w:val="en-US"/>
        </w:rPr>
        <w:t xml:space="preserve"> (16): 33-49. </w:t>
      </w:r>
    </w:p>
    <w:p w:rsidR="00641EA0" w:rsidRPr="00641EA0" w:rsidRDefault="00641EA0" w:rsidP="00641EA0">
      <w:pPr>
        <w:spacing w:after="60" w:line="259" w:lineRule="auto"/>
        <w:ind w:left="284" w:hanging="284"/>
        <w:rPr>
          <w:rFonts w:ascii="Cambria" w:hAnsi="Cambria"/>
          <w:color w:val="000000"/>
          <w:u w:val="single"/>
          <w:lang w:val="en-GB"/>
        </w:rPr>
      </w:pPr>
      <w:proofErr w:type="spellStart"/>
      <w:r w:rsidRPr="00641EA0">
        <w:rPr>
          <w:rFonts w:ascii="Cambria" w:hAnsi="Cambria"/>
          <w:lang w:val="en-US"/>
        </w:rPr>
        <w:t>Havstad</w:t>
      </w:r>
      <w:proofErr w:type="spellEnd"/>
      <w:r w:rsidRPr="00641EA0">
        <w:rPr>
          <w:rFonts w:ascii="Cambria" w:hAnsi="Cambria"/>
          <w:lang w:val="en-US"/>
        </w:rPr>
        <w:t xml:space="preserve">, Lilly. 2016. </w:t>
      </w:r>
      <w:r w:rsidRPr="00641EA0">
        <w:rPr>
          <w:rFonts w:ascii="Cambria" w:hAnsi="Cambria"/>
          <w:lang w:val="en-GB"/>
        </w:rPr>
        <w:t xml:space="preserve">“Multiracial Women and the African Press in Post-World War II </w:t>
      </w:r>
      <w:proofErr w:type="spellStart"/>
      <w:r w:rsidRPr="00641EA0">
        <w:rPr>
          <w:rFonts w:ascii="Cambria" w:hAnsi="Cambria"/>
          <w:lang w:val="en-GB"/>
        </w:rPr>
        <w:t>Lourenço</w:t>
      </w:r>
      <w:proofErr w:type="spellEnd"/>
      <w:r w:rsidRPr="00641EA0">
        <w:rPr>
          <w:rFonts w:ascii="Cambria" w:hAnsi="Cambria"/>
          <w:lang w:val="en-GB"/>
        </w:rPr>
        <w:t xml:space="preserve"> Marques, Mozambique”, </w:t>
      </w:r>
      <w:r w:rsidRPr="00641EA0">
        <w:rPr>
          <w:rFonts w:ascii="Cambria" w:hAnsi="Cambria"/>
          <w:i/>
          <w:lang w:val="en-GB"/>
        </w:rPr>
        <w:t>South African Historical Journal</w:t>
      </w:r>
      <w:r w:rsidRPr="00641EA0">
        <w:rPr>
          <w:rFonts w:ascii="Cambria" w:hAnsi="Cambria"/>
          <w:lang w:val="en-GB"/>
        </w:rPr>
        <w:t xml:space="preserve"> (68:3): 216, 390-414. </w:t>
      </w:r>
    </w:p>
    <w:p w:rsidR="00641EA0" w:rsidRPr="00641EA0" w:rsidRDefault="00641EA0" w:rsidP="00641EA0">
      <w:pPr>
        <w:spacing w:after="60" w:line="259" w:lineRule="auto"/>
        <w:ind w:left="284" w:hanging="284"/>
        <w:rPr>
          <w:rFonts w:ascii="Cambria" w:hAnsi="Cambria"/>
          <w:color w:val="000000"/>
          <w:u w:val="single"/>
          <w:lang w:val="en-GB"/>
        </w:rPr>
      </w:pPr>
      <w:proofErr w:type="spellStart"/>
      <w:r w:rsidRPr="00641EA0">
        <w:rPr>
          <w:rFonts w:ascii="Cambria" w:hAnsi="Cambria"/>
          <w:lang w:val="en-GB"/>
        </w:rPr>
        <w:lastRenderedPageBreak/>
        <w:t>Helgesson</w:t>
      </w:r>
      <w:proofErr w:type="spellEnd"/>
      <w:r w:rsidRPr="00641EA0">
        <w:rPr>
          <w:rFonts w:ascii="Cambria" w:hAnsi="Cambria"/>
          <w:lang w:val="en-GB"/>
        </w:rPr>
        <w:t xml:space="preserve">, Stefan. 2011. </w:t>
      </w:r>
      <w:r w:rsidRPr="00641EA0">
        <w:rPr>
          <w:rFonts w:ascii="Cambria" w:hAnsi="Cambria"/>
          <w:i/>
          <w:lang w:val="en-GB"/>
        </w:rPr>
        <w:t>Transnationalism in Southern African Literature: Modernists, Realists, and the Inequality of Print Culture</w:t>
      </w:r>
      <w:r w:rsidRPr="00641EA0">
        <w:rPr>
          <w:rFonts w:ascii="Cambria" w:hAnsi="Cambria"/>
          <w:lang w:val="en-GB"/>
        </w:rPr>
        <w:t>. New York: Routledge.</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Holdridge</w:t>
      </w:r>
      <w:proofErr w:type="spellEnd"/>
      <w:r w:rsidRPr="00641EA0">
        <w:rPr>
          <w:rFonts w:ascii="Cambria" w:hAnsi="Cambria"/>
          <w:lang w:val="en-GB"/>
        </w:rPr>
        <w:t xml:space="preserve">, Christopher. 2010. “Circulating the </w:t>
      </w:r>
      <w:r w:rsidRPr="00641EA0">
        <w:rPr>
          <w:rFonts w:ascii="Cambria" w:hAnsi="Cambria"/>
          <w:i/>
          <w:lang w:val="en-GB"/>
        </w:rPr>
        <w:t>African Journal</w:t>
      </w:r>
      <w:r w:rsidRPr="00641EA0">
        <w:rPr>
          <w:rFonts w:ascii="Cambria" w:hAnsi="Cambria"/>
          <w:lang w:val="en-GB"/>
        </w:rPr>
        <w:t xml:space="preserve">: The Colonial Press and Trans-Imperial Britishness in the Mid Nineteenth-Century Cape”. </w:t>
      </w:r>
      <w:r w:rsidRPr="00641EA0">
        <w:rPr>
          <w:rFonts w:ascii="Cambria" w:hAnsi="Cambria"/>
          <w:i/>
          <w:lang w:val="en-GB"/>
        </w:rPr>
        <w:t>South African Historical Journal</w:t>
      </w:r>
      <w:r w:rsidRPr="00641EA0">
        <w:rPr>
          <w:rFonts w:ascii="Cambria" w:hAnsi="Cambria"/>
          <w:lang w:val="en-GB"/>
        </w:rPr>
        <w:t xml:space="preserve"> (62:3): 487-513.</w:t>
      </w:r>
    </w:p>
    <w:p w:rsidR="00641EA0" w:rsidRPr="00641EA0" w:rsidRDefault="00641EA0" w:rsidP="00641EA0">
      <w:pPr>
        <w:spacing w:after="60" w:line="259" w:lineRule="auto"/>
        <w:ind w:left="284" w:hanging="284"/>
        <w:rPr>
          <w:rFonts w:ascii="Cambria" w:hAnsi="Cambria"/>
          <w:lang w:val="en-GB"/>
        </w:rPr>
      </w:pPr>
      <w:r w:rsidRPr="00641EA0">
        <w:rPr>
          <w:rFonts w:ascii="Cambria" w:hAnsi="Cambria"/>
          <w:lang w:val="en-GB"/>
        </w:rPr>
        <w:t xml:space="preserve">Levine, Philippa, org. 2004. </w:t>
      </w:r>
      <w:r w:rsidRPr="00641EA0">
        <w:rPr>
          <w:rFonts w:ascii="Cambria" w:hAnsi="Cambria"/>
          <w:i/>
          <w:lang w:val="en-GB"/>
        </w:rPr>
        <w:t>Gender and Empire</w:t>
      </w:r>
      <w:r w:rsidRPr="00641EA0">
        <w:rPr>
          <w:rFonts w:ascii="Cambria" w:hAnsi="Cambria"/>
          <w:lang w:val="en-GB"/>
        </w:rPr>
        <w:t>. Oxford: Oxford University Press.</w:t>
      </w:r>
    </w:p>
    <w:p w:rsidR="00641EA0" w:rsidRPr="00641EA0" w:rsidRDefault="00641EA0" w:rsidP="00641EA0">
      <w:pPr>
        <w:spacing w:after="60" w:line="259" w:lineRule="auto"/>
        <w:ind w:left="284" w:hanging="284"/>
        <w:rPr>
          <w:rFonts w:ascii="Cambria" w:hAnsi="Cambria"/>
          <w:highlight w:val="white"/>
        </w:rPr>
      </w:pPr>
      <w:proofErr w:type="spellStart"/>
      <w:r w:rsidRPr="00641EA0">
        <w:rPr>
          <w:rFonts w:ascii="Cambria" w:hAnsi="Cambria"/>
          <w:highlight w:val="white"/>
          <w:lang w:val="en-GB"/>
        </w:rPr>
        <w:t>Mendonça</w:t>
      </w:r>
      <w:proofErr w:type="spellEnd"/>
      <w:r w:rsidRPr="00641EA0">
        <w:rPr>
          <w:rFonts w:ascii="Cambria" w:hAnsi="Cambria"/>
          <w:highlight w:val="white"/>
          <w:lang w:val="en-GB"/>
        </w:rPr>
        <w:t xml:space="preserve">, </w:t>
      </w:r>
      <w:proofErr w:type="spellStart"/>
      <w:r w:rsidRPr="00641EA0">
        <w:rPr>
          <w:rFonts w:ascii="Cambria" w:hAnsi="Cambria"/>
          <w:highlight w:val="white"/>
          <w:lang w:val="en-GB"/>
        </w:rPr>
        <w:t>Fátima</w:t>
      </w:r>
      <w:proofErr w:type="spellEnd"/>
      <w:r w:rsidRPr="00641EA0">
        <w:rPr>
          <w:rFonts w:ascii="Cambria" w:hAnsi="Cambria"/>
          <w:highlight w:val="white"/>
          <w:lang w:val="en-GB"/>
        </w:rPr>
        <w:t xml:space="preserve">. </w:t>
      </w:r>
      <w:r w:rsidRPr="00641EA0">
        <w:rPr>
          <w:rFonts w:ascii="Cambria" w:hAnsi="Cambria"/>
          <w:highlight w:val="white"/>
        </w:rPr>
        <w:t xml:space="preserve">1989. </w:t>
      </w:r>
      <w:r w:rsidRPr="00641EA0">
        <w:rPr>
          <w:rFonts w:ascii="Cambria" w:hAnsi="Cambria"/>
          <w:i/>
          <w:highlight w:val="white"/>
        </w:rPr>
        <w:t>Literatura moçambicana: a história e as escritas</w:t>
      </w:r>
      <w:r w:rsidRPr="00641EA0">
        <w:rPr>
          <w:rFonts w:ascii="Cambria" w:hAnsi="Cambria"/>
          <w:highlight w:val="white"/>
        </w:rPr>
        <w:t xml:space="preserve">. Maputo: Universidade Eduardo </w:t>
      </w:r>
      <w:proofErr w:type="spellStart"/>
      <w:r w:rsidRPr="00641EA0">
        <w:rPr>
          <w:rFonts w:ascii="Cambria" w:hAnsi="Cambria"/>
          <w:highlight w:val="white"/>
        </w:rPr>
        <w:t>Mondlane</w:t>
      </w:r>
      <w:proofErr w:type="spellEnd"/>
      <w:r w:rsidRPr="00641EA0">
        <w:rPr>
          <w:rFonts w:ascii="Cambria" w:hAnsi="Cambria"/>
          <w:highlight w:val="white"/>
        </w:rPr>
        <w:t>.</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rPr>
        <w:t>Meléndez</w:t>
      </w:r>
      <w:proofErr w:type="spellEnd"/>
      <w:r w:rsidRPr="00641EA0">
        <w:rPr>
          <w:rFonts w:ascii="Cambria" w:hAnsi="Cambria"/>
        </w:rPr>
        <w:t xml:space="preserve">, </w:t>
      </w:r>
      <w:proofErr w:type="spellStart"/>
      <w:r w:rsidRPr="00641EA0">
        <w:rPr>
          <w:rFonts w:ascii="Cambria" w:hAnsi="Cambria"/>
        </w:rPr>
        <w:t>Mariselle</w:t>
      </w:r>
      <w:proofErr w:type="spellEnd"/>
      <w:r w:rsidRPr="00641EA0">
        <w:rPr>
          <w:rFonts w:ascii="Cambria" w:hAnsi="Cambria"/>
        </w:rPr>
        <w:t>. 2002. “</w:t>
      </w:r>
      <w:proofErr w:type="spellStart"/>
      <w:r w:rsidRPr="00641EA0">
        <w:rPr>
          <w:rFonts w:ascii="Cambria" w:hAnsi="Cambria"/>
        </w:rPr>
        <w:t>Representing</w:t>
      </w:r>
      <w:proofErr w:type="spellEnd"/>
      <w:r w:rsidRPr="00641EA0">
        <w:rPr>
          <w:rFonts w:ascii="Cambria" w:hAnsi="Cambria"/>
        </w:rPr>
        <w:t xml:space="preserve"> </w:t>
      </w:r>
      <w:proofErr w:type="spellStart"/>
      <w:r w:rsidRPr="00641EA0">
        <w:rPr>
          <w:rFonts w:ascii="Cambria" w:hAnsi="Cambria"/>
        </w:rPr>
        <w:t>Gender</w:t>
      </w:r>
      <w:proofErr w:type="spellEnd"/>
      <w:r w:rsidRPr="00641EA0">
        <w:rPr>
          <w:rFonts w:ascii="Cambria" w:hAnsi="Cambria"/>
        </w:rPr>
        <w:t xml:space="preserve">, </w:t>
      </w:r>
      <w:proofErr w:type="spellStart"/>
      <w:r w:rsidRPr="00641EA0">
        <w:rPr>
          <w:rFonts w:ascii="Cambria" w:hAnsi="Cambria"/>
        </w:rPr>
        <w:t>Deviance</w:t>
      </w:r>
      <w:proofErr w:type="spellEnd"/>
      <w:r w:rsidRPr="00641EA0">
        <w:rPr>
          <w:rFonts w:ascii="Cambria" w:hAnsi="Cambria"/>
        </w:rPr>
        <w:t xml:space="preserve">, </w:t>
      </w:r>
      <w:proofErr w:type="spellStart"/>
      <w:r w:rsidRPr="00641EA0">
        <w:rPr>
          <w:rFonts w:ascii="Cambria" w:hAnsi="Cambria"/>
        </w:rPr>
        <w:t>and</w:t>
      </w:r>
      <w:proofErr w:type="spellEnd"/>
      <w:r w:rsidRPr="00641EA0">
        <w:rPr>
          <w:rFonts w:ascii="Cambria" w:hAnsi="Cambria"/>
        </w:rPr>
        <w:t xml:space="preserve"> </w:t>
      </w:r>
      <w:proofErr w:type="spellStart"/>
      <w:r w:rsidRPr="00641EA0">
        <w:rPr>
          <w:rFonts w:ascii="Cambria" w:hAnsi="Cambria"/>
        </w:rPr>
        <w:t>Heterogeneity</w:t>
      </w:r>
      <w:proofErr w:type="spellEnd"/>
      <w:r w:rsidRPr="00641EA0">
        <w:rPr>
          <w:rFonts w:ascii="Cambria" w:hAnsi="Cambria"/>
        </w:rPr>
        <w:t xml:space="preserve"> in </w:t>
      </w:r>
      <w:proofErr w:type="spellStart"/>
      <w:r w:rsidRPr="00641EA0">
        <w:rPr>
          <w:rFonts w:ascii="Cambria" w:hAnsi="Cambria"/>
        </w:rPr>
        <w:t>the</w:t>
      </w:r>
      <w:proofErr w:type="spellEnd"/>
      <w:r w:rsidRPr="00641EA0">
        <w:rPr>
          <w:rFonts w:ascii="Cambria" w:hAnsi="Cambria"/>
        </w:rPr>
        <w:t xml:space="preserve"> </w:t>
      </w:r>
      <w:proofErr w:type="spellStart"/>
      <w:r w:rsidRPr="00641EA0">
        <w:rPr>
          <w:rFonts w:ascii="Cambria" w:hAnsi="Cambria"/>
        </w:rPr>
        <w:t>Eighteenth‐Century</w:t>
      </w:r>
      <w:proofErr w:type="spellEnd"/>
      <w:r w:rsidRPr="00641EA0">
        <w:rPr>
          <w:rFonts w:ascii="Cambria" w:hAnsi="Cambria"/>
        </w:rPr>
        <w:t xml:space="preserve"> </w:t>
      </w:r>
      <w:proofErr w:type="spellStart"/>
      <w:r w:rsidRPr="00641EA0">
        <w:rPr>
          <w:rFonts w:ascii="Cambria" w:hAnsi="Cambria"/>
        </w:rPr>
        <w:t>Peruvian</w:t>
      </w:r>
      <w:proofErr w:type="spellEnd"/>
      <w:r w:rsidRPr="00641EA0">
        <w:rPr>
          <w:rFonts w:ascii="Cambria" w:hAnsi="Cambria"/>
        </w:rPr>
        <w:t xml:space="preserve"> </w:t>
      </w:r>
      <w:proofErr w:type="spellStart"/>
      <w:r w:rsidRPr="00641EA0">
        <w:rPr>
          <w:rFonts w:ascii="Cambria" w:hAnsi="Cambria"/>
        </w:rPr>
        <w:t>Newspaper</w:t>
      </w:r>
      <w:proofErr w:type="spellEnd"/>
      <w:r w:rsidRPr="00641EA0">
        <w:rPr>
          <w:rFonts w:ascii="Cambria" w:hAnsi="Cambria"/>
        </w:rPr>
        <w:t xml:space="preserve"> </w:t>
      </w:r>
      <w:proofErr w:type="spellStart"/>
      <w:r w:rsidRPr="00641EA0">
        <w:rPr>
          <w:rFonts w:ascii="Cambria" w:hAnsi="Cambria"/>
          <w:i/>
        </w:rPr>
        <w:t>Mercurio</w:t>
      </w:r>
      <w:proofErr w:type="spellEnd"/>
      <w:r w:rsidRPr="00641EA0">
        <w:rPr>
          <w:rFonts w:ascii="Cambria" w:hAnsi="Cambria"/>
          <w:i/>
        </w:rPr>
        <w:t xml:space="preserve"> Peruano</w:t>
      </w:r>
      <w:r w:rsidRPr="00641EA0">
        <w:rPr>
          <w:rFonts w:ascii="Cambria" w:hAnsi="Cambria"/>
        </w:rPr>
        <w:t xml:space="preserve">”, In </w:t>
      </w:r>
      <w:proofErr w:type="spellStart"/>
      <w:r w:rsidRPr="00641EA0">
        <w:rPr>
          <w:rFonts w:ascii="Cambria" w:hAnsi="Cambria"/>
          <w:i/>
        </w:rPr>
        <w:t>Colonialism</w:t>
      </w:r>
      <w:proofErr w:type="spellEnd"/>
      <w:r w:rsidRPr="00641EA0">
        <w:rPr>
          <w:rFonts w:ascii="Cambria" w:hAnsi="Cambria"/>
          <w:i/>
        </w:rPr>
        <w:t xml:space="preserve"> </w:t>
      </w:r>
      <w:proofErr w:type="spellStart"/>
      <w:r w:rsidRPr="00641EA0">
        <w:rPr>
          <w:rFonts w:ascii="Cambria" w:hAnsi="Cambria"/>
          <w:i/>
        </w:rPr>
        <w:t>Past</w:t>
      </w:r>
      <w:proofErr w:type="spellEnd"/>
      <w:r w:rsidRPr="00641EA0">
        <w:rPr>
          <w:rFonts w:ascii="Cambria" w:hAnsi="Cambria"/>
          <w:i/>
        </w:rPr>
        <w:t xml:space="preserve"> </w:t>
      </w:r>
      <w:proofErr w:type="spellStart"/>
      <w:r w:rsidRPr="00641EA0">
        <w:rPr>
          <w:rFonts w:ascii="Cambria" w:hAnsi="Cambria"/>
          <w:i/>
        </w:rPr>
        <w:t>and</w:t>
      </w:r>
      <w:proofErr w:type="spellEnd"/>
      <w:r w:rsidRPr="00641EA0">
        <w:rPr>
          <w:rFonts w:ascii="Cambria" w:hAnsi="Cambria"/>
          <w:i/>
        </w:rPr>
        <w:t xml:space="preserve"> </w:t>
      </w:r>
      <w:proofErr w:type="spellStart"/>
      <w:r w:rsidRPr="00641EA0">
        <w:rPr>
          <w:rFonts w:ascii="Cambria" w:hAnsi="Cambria"/>
          <w:i/>
        </w:rPr>
        <w:t>Present</w:t>
      </w:r>
      <w:proofErr w:type="spellEnd"/>
      <w:r w:rsidRPr="00641EA0">
        <w:rPr>
          <w:rFonts w:ascii="Cambria" w:hAnsi="Cambria"/>
          <w:i/>
        </w:rPr>
        <w:t xml:space="preserve">: </w:t>
      </w:r>
      <w:proofErr w:type="spellStart"/>
      <w:r w:rsidRPr="00641EA0">
        <w:rPr>
          <w:rFonts w:ascii="Cambria" w:hAnsi="Cambria"/>
          <w:i/>
        </w:rPr>
        <w:t>The</w:t>
      </w:r>
      <w:proofErr w:type="spellEnd"/>
      <w:r w:rsidRPr="00641EA0">
        <w:rPr>
          <w:rFonts w:ascii="Cambria" w:hAnsi="Cambria"/>
          <w:i/>
        </w:rPr>
        <w:t xml:space="preserve"> </w:t>
      </w:r>
      <w:proofErr w:type="spellStart"/>
      <w:r w:rsidRPr="00641EA0">
        <w:rPr>
          <w:rFonts w:ascii="Cambria" w:hAnsi="Cambria"/>
          <w:i/>
        </w:rPr>
        <w:t>Politics</w:t>
      </w:r>
      <w:proofErr w:type="spellEnd"/>
      <w:r w:rsidRPr="00641EA0">
        <w:rPr>
          <w:rFonts w:ascii="Cambria" w:hAnsi="Cambria"/>
          <w:i/>
        </w:rPr>
        <w:t xml:space="preserve"> </w:t>
      </w:r>
      <w:proofErr w:type="spellStart"/>
      <w:r w:rsidRPr="00641EA0">
        <w:rPr>
          <w:rFonts w:ascii="Cambria" w:hAnsi="Cambria"/>
          <w:i/>
        </w:rPr>
        <w:t>of</w:t>
      </w:r>
      <w:proofErr w:type="spellEnd"/>
      <w:r w:rsidRPr="00641EA0">
        <w:rPr>
          <w:rFonts w:ascii="Cambria" w:hAnsi="Cambria"/>
          <w:i/>
        </w:rPr>
        <w:t xml:space="preserve"> Reading </w:t>
      </w:r>
      <w:proofErr w:type="spellStart"/>
      <w:r w:rsidRPr="00641EA0">
        <w:rPr>
          <w:rFonts w:ascii="Cambria" w:hAnsi="Cambria"/>
          <w:i/>
        </w:rPr>
        <w:t>and</w:t>
      </w:r>
      <w:proofErr w:type="spellEnd"/>
      <w:r w:rsidRPr="00641EA0">
        <w:rPr>
          <w:rFonts w:ascii="Cambria" w:hAnsi="Cambria"/>
          <w:i/>
        </w:rPr>
        <w:t xml:space="preserve"> </w:t>
      </w:r>
      <w:proofErr w:type="spellStart"/>
      <w:r w:rsidRPr="00641EA0">
        <w:rPr>
          <w:rFonts w:ascii="Cambria" w:hAnsi="Cambria"/>
          <w:i/>
        </w:rPr>
        <w:t>Writing</w:t>
      </w:r>
      <w:proofErr w:type="spellEnd"/>
      <w:r w:rsidRPr="00641EA0">
        <w:rPr>
          <w:rFonts w:ascii="Cambria" w:hAnsi="Cambria"/>
          <w:i/>
        </w:rPr>
        <w:t xml:space="preserve"> </w:t>
      </w:r>
      <w:proofErr w:type="spellStart"/>
      <w:r w:rsidRPr="00641EA0">
        <w:rPr>
          <w:rFonts w:ascii="Cambria" w:hAnsi="Cambria"/>
          <w:i/>
        </w:rPr>
        <w:t>about</w:t>
      </w:r>
      <w:proofErr w:type="spellEnd"/>
      <w:r w:rsidRPr="00641EA0">
        <w:rPr>
          <w:rFonts w:ascii="Cambria" w:hAnsi="Cambria"/>
          <w:i/>
        </w:rPr>
        <w:t xml:space="preserve"> Colonial </w:t>
      </w:r>
      <w:proofErr w:type="spellStart"/>
      <w:r w:rsidRPr="00641EA0">
        <w:rPr>
          <w:rFonts w:ascii="Cambria" w:hAnsi="Cambria"/>
          <w:i/>
        </w:rPr>
        <w:t>Latin</w:t>
      </w:r>
      <w:proofErr w:type="spellEnd"/>
      <w:r w:rsidRPr="00641EA0">
        <w:rPr>
          <w:rFonts w:ascii="Cambria" w:hAnsi="Cambria"/>
          <w:i/>
        </w:rPr>
        <w:t xml:space="preserve"> </w:t>
      </w:r>
      <w:proofErr w:type="spellStart"/>
      <w:r w:rsidRPr="00641EA0">
        <w:rPr>
          <w:rFonts w:ascii="Cambria" w:hAnsi="Cambria"/>
          <w:i/>
        </w:rPr>
        <w:t>American</w:t>
      </w:r>
      <w:proofErr w:type="spellEnd"/>
      <w:r w:rsidRPr="00641EA0">
        <w:rPr>
          <w:rFonts w:ascii="Cambria" w:hAnsi="Cambria"/>
          <w:i/>
        </w:rPr>
        <w:t xml:space="preserve"> </w:t>
      </w:r>
      <w:proofErr w:type="spellStart"/>
      <w:r w:rsidRPr="00641EA0">
        <w:rPr>
          <w:rFonts w:ascii="Cambria" w:hAnsi="Cambria"/>
          <w:i/>
        </w:rPr>
        <w:t>Texts</w:t>
      </w:r>
      <w:proofErr w:type="spellEnd"/>
      <w:r w:rsidRPr="00641EA0">
        <w:rPr>
          <w:rFonts w:ascii="Cambria" w:hAnsi="Cambria"/>
          <w:i/>
        </w:rPr>
        <w:t xml:space="preserve"> </w:t>
      </w:r>
      <w:proofErr w:type="spellStart"/>
      <w:r w:rsidRPr="00641EA0">
        <w:rPr>
          <w:rFonts w:ascii="Cambria" w:hAnsi="Cambria"/>
          <w:i/>
        </w:rPr>
        <w:t>Today</w:t>
      </w:r>
      <w:proofErr w:type="spellEnd"/>
      <w:r w:rsidRPr="00641EA0">
        <w:rPr>
          <w:rFonts w:ascii="Cambria" w:hAnsi="Cambria"/>
        </w:rPr>
        <w:t xml:space="preserve">, organizado por </w:t>
      </w:r>
      <w:proofErr w:type="spellStart"/>
      <w:r w:rsidRPr="00641EA0">
        <w:rPr>
          <w:rFonts w:ascii="Cambria" w:hAnsi="Cambria"/>
        </w:rPr>
        <w:t>Alvaro</w:t>
      </w:r>
      <w:proofErr w:type="spellEnd"/>
      <w:r w:rsidRPr="00641EA0">
        <w:rPr>
          <w:rFonts w:ascii="Cambria" w:hAnsi="Cambria"/>
        </w:rPr>
        <w:t xml:space="preserve"> Félix </w:t>
      </w:r>
      <w:proofErr w:type="spellStart"/>
      <w:r w:rsidRPr="00641EA0">
        <w:rPr>
          <w:rFonts w:ascii="Cambria" w:hAnsi="Cambria"/>
        </w:rPr>
        <w:t>Bolaños</w:t>
      </w:r>
      <w:proofErr w:type="spellEnd"/>
      <w:r w:rsidRPr="00641EA0">
        <w:rPr>
          <w:rFonts w:ascii="Cambria" w:hAnsi="Cambria"/>
        </w:rPr>
        <w:t xml:space="preserve"> e Gustavo </w:t>
      </w:r>
      <w:proofErr w:type="spellStart"/>
      <w:r w:rsidRPr="00641EA0">
        <w:rPr>
          <w:rFonts w:ascii="Cambria" w:hAnsi="Cambria"/>
        </w:rPr>
        <w:t>Verdesio</w:t>
      </w:r>
      <w:proofErr w:type="spellEnd"/>
      <w:r w:rsidRPr="00641EA0">
        <w:rPr>
          <w:rFonts w:ascii="Cambria" w:hAnsi="Cambria"/>
        </w:rPr>
        <w:t xml:space="preserve">, 175‐195. </w:t>
      </w:r>
      <w:r w:rsidRPr="00641EA0">
        <w:rPr>
          <w:rFonts w:ascii="Cambria" w:hAnsi="Cambria"/>
          <w:lang w:val="en-GB"/>
        </w:rPr>
        <w:t>New York: SUNY University Press, 2002.</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Midgley</w:t>
      </w:r>
      <w:proofErr w:type="spellEnd"/>
      <w:r w:rsidRPr="00641EA0">
        <w:rPr>
          <w:rFonts w:ascii="Cambria" w:hAnsi="Cambria"/>
          <w:lang w:val="en-GB"/>
        </w:rPr>
        <w:t xml:space="preserve">, Claire, org. 1998. </w:t>
      </w:r>
      <w:r w:rsidRPr="00641EA0">
        <w:rPr>
          <w:rFonts w:ascii="Cambria" w:hAnsi="Cambria"/>
          <w:i/>
          <w:lang w:val="en-GB"/>
        </w:rPr>
        <w:t>Gender and Imperialism</w:t>
      </w:r>
      <w:r w:rsidRPr="00641EA0">
        <w:rPr>
          <w:rFonts w:ascii="Cambria" w:hAnsi="Cambria"/>
          <w:lang w:val="en-GB"/>
        </w:rPr>
        <w:t>. Manchester: Manchester University Press.</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n-GB"/>
        </w:rPr>
        <w:t xml:space="preserve">Owen, Hilary. 2007. </w:t>
      </w:r>
      <w:r w:rsidRPr="00641EA0">
        <w:rPr>
          <w:rFonts w:ascii="Cambria" w:hAnsi="Cambria"/>
          <w:i/>
          <w:lang w:val="en-GB"/>
        </w:rPr>
        <w:t>Mother Africa, Father Marx: Women’s Writing of Mozambique 1948–2002</w:t>
      </w:r>
      <w:r w:rsidRPr="00641EA0">
        <w:rPr>
          <w:rFonts w:ascii="Cambria" w:hAnsi="Cambria"/>
          <w:lang w:val="en-GB"/>
        </w:rPr>
        <w:t xml:space="preserve">. </w:t>
      </w:r>
      <w:proofErr w:type="spellStart"/>
      <w:r w:rsidRPr="00641EA0">
        <w:rPr>
          <w:rFonts w:ascii="Cambria" w:hAnsi="Cambria"/>
          <w:lang w:val="es-ES"/>
        </w:rPr>
        <w:t>Lewisburg</w:t>
      </w:r>
      <w:proofErr w:type="spellEnd"/>
      <w:r w:rsidRPr="00641EA0">
        <w:rPr>
          <w:rFonts w:ascii="Cambria" w:hAnsi="Cambria"/>
          <w:lang w:val="es-ES"/>
        </w:rPr>
        <w:t xml:space="preserve">: </w:t>
      </w:r>
      <w:proofErr w:type="spellStart"/>
      <w:r w:rsidRPr="00641EA0">
        <w:rPr>
          <w:rFonts w:ascii="Cambria" w:hAnsi="Cambria"/>
          <w:lang w:val="es-ES"/>
        </w:rPr>
        <w:t>Bucknell</w:t>
      </w:r>
      <w:proofErr w:type="spellEnd"/>
      <w:r w:rsidRPr="00641EA0">
        <w:rPr>
          <w:rFonts w:ascii="Cambria" w:hAnsi="Cambria"/>
          <w:lang w:val="es-ES"/>
        </w:rPr>
        <w:t xml:space="preserve"> </w:t>
      </w:r>
      <w:proofErr w:type="spellStart"/>
      <w:r w:rsidRPr="00641EA0">
        <w:rPr>
          <w:rFonts w:ascii="Cambria" w:hAnsi="Cambria"/>
          <w:lang w:val="es-ES"/>
        </w:rPr>
        <w:t>University</w:t>
      </w:r>
      <w:proofErr w:type="spellEnd"/>
      <w:r w:rsidRPr="00641EA0">
        <w:rPr>
          <w:rFonts w:ascii="Cambria" w:hAnsi="Cambria"/>
          <w:lang w:val="es-ES"/>
        </w:rPr>
        <w:t xml:space="preserve"> </w:t>
      </w:r>
      <w:proofErr w:type="spellStart"/>
      <w:r w:rsidRPr="00641EA0">
        <w:rPr>
          <w:rFonts w:ascii="Cambria" w:hAnsi="Cambria"/>
          <w:lang w:val="es-ES"/>
        </w:rPr>
        <w:t>Press</w:t>
      </w:r>
      <w:proofErr w:type="spellEnd"/>
      <w:r w:rsidRPr="00641EA0">
        <w:rPr>
          <w:rFonts w:ascii="Cambria" w:hAnsi="Cambria"/>
          <w:lang w:val="es-ES"/>
        </w:rPr>
        <w:t>.</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s-ES"/>
        </w:rPr>
        <w:t xml:space="preserve">Pereda, Alicia. 2003. “De las ‘damas melindrosas’ a las ‘señoritas amables’: las mujeres en la prensa mexicana a comienzos del siglo XIX”, </w:t>
      </w:r>
      <w:r w:rsidRPr="00641EA0">
        <w:rPr>
          <w:rFonts w:ascii="Cambria" w:hAnsi="Cambria"/>
          <w:i/>
          <w:lang w:val="es-ES"/>
        </w:rPr>
        <w:t>Cuadernos americanos</w:t>
      </w:r>
      <w:r w:rsidRPr="00641EA0">
        <w:rPr>
          <w:rFonts w:ascii="Cambria" w:hAnsi="Cambria"/>
          <w:lang w:val="es-ES"/>
        </w:rPr>
        <w:t xml:space="preserve"> (100): 160‐180.</w:t>
      </w:r>
    </w:p>
    <w:p w:rsidR="00641EA0" w:rsidRPr="00641EA0" w:rsidRDefault="00641EA0" w:rsidP="00641EA0">
      <w:pPr>
        <w:spacing w:after="60" w:line="259" w:lineRule="auto"/>
        <w:ind w:left="284" w:hanging="284"/>
        <w:rPr>
          <w:rFonts w:ascii="Cambria" w:hAnsi="Cambria"/>
          <w:lang w:val="es-ES"/>
        </w:rPr>
      </w:pPr>
      <w:proofErr w:type="spellStart"/>
      <w:r w:rsidRPr="00641EA0">
        <w:rPr>
          <w:rFonts w:ascii="Cambria" w:hAnsi="Cambria"/>
          <w:lang w:val="es-ES"/>
        </w:rPr>
        <w:t>Poupeney</w:t>
      </w:r>
      <w:proofErr w:type="spellEnd"/>
      <w:r w:rsidRPr="00641EA0">
        <w:rPr>
          <w:rFonts w:ascii="Cambria" w:hAnsi="Cambria"/>
          <w:lang w:val="es-ES"/>
        </w:rPr>
        <w:t xml:space="preserve"> </w:t>
      </w:r>
      <w:proofErr w:type="spellStart"/>
      <w:r w:rsidRPr="00641EA0">
        <w:rPr>
          <w:rFonts w:ascii="Cambria" w:hAnsi="Cambria"/>
          <w:lang w:val="es-ES"/>
        </w:rPr>
        <w:t>Hart</w:t>
      </w:r>
      <w:proofErr w:type="spellEnd"/>
      <w:r w:rsidRPr="00641EA0">
        <w:rPr>
          <w:rFonts w:ascii="Cambria" w:hAnsi="Cambria"/>
          <w:lang w:val="es-ES"/>
        </w:rPr>
        <w:t xml:space="preserve">, Catherine. 2010. “Prensa periódica y letras coloniales”, </w:t>
      </w:r>
      <w:proofErr w:type="spellStart"/>
      <w:r w:rsidRPr="00641EA0">
        <w:rPr>
          <w:rFonts w:ascii="Cambria" w:hAnsi="Cambria"/>
          <w:i/>
          <w:lang w:val="es-ES"/>
        </w:rPr>
        <w:t>Tinkuy</w:t>
      </w:r>
      <w:proofErr w:type="spellEnd"/>
      <w:r w:rsidRPr="00641EA0">
        <w:rPr>
          <w:rFonts w:ascii="Cambria" w:hAnsi="Cambria"/>
          <w:lang w:val="es-ES"/>
        </w:rPr>
        <w:t xml:space="preserve"> 14. </w:t>
      </w:r>
    </w:p>
    <w:p w:rsidR="00641EA0" w:rsidRPr="00CE4987" w:rsidRDefault="00641EA0" w:rsidP="00641EA0">
      <w:pPr>
        <w:spacing w:after="60" w:line="259" w:lineRule="auto"/>
        <w:ind w:left="284" w:hanging="284"/>
        <w:rPr>
          <w:rFonts w:ascii="Cambria" w:hAnsi="Cambria"/>
          <w:lang w:val="es-ES"/>
        </w:rPr>
      </w:pPr>
      <w:r w:rsidRPr="00641EA0">
        <w:rPr>
          <w:rFonts w:ascii="Cambria" w:hAnsi="Cambria"/>
          <w:lang w:val="en-GB"/>
        </w:rPr>
        <w:t xml:space="preserve">Quirk, Denise P. 2003. “‘True Englishwomen’ and ‘Anglo-Indians’: Gender, National Identity, and Feminism in the Victorian Women's Periodical Press”. In: </w:t>
      </w:r>
      <w:r w:rsidRPr="00641EA0">
        <w:rPr>
          <w:rFonts w:ascii="Cambria" w:hAnsi="Cambria"/>
          <w:i/>
          <w:lang w:val="en-GB"/>
        </w:rPr>
        <w:t>Imperial co-histories: national identities and the British and colonial press</w:t>
      </w:r>
      <w:r w:rsidRPr="00641EA0">
        <w:rPr>
          <w:rFonts w:ascii="Cambria" w:hAnsi="Cambria"/>
          <w:lang w:val="en-GB"/>
        </w:rPr>
        <w:t xml:space="preserve"> </w:t>
      </w:r>
      <w:proofErr w:type="spellStart"/>
      <w:r w:rsidRPr="00641EA0">
        <w:rPr>
          <w:rFonts w:ascii="Cambria" w:hAnsi="Cambria"/>
          <w:lang w:val="en-GB"/>
        </w:rPr>
        <w:t>organizado</w:t>
      </w:r>
      <w:proofErr w:type="spellEnd"/>
      <w:r w:rsidRPr="00641EA0">
        <w:rPr>
          <w:rFonts w:ascii="Cambria" w:hAnsi="Cambria"/>
          <w:lang w:val="en-GB"/>
        </w:rPr>
        <w:t xml:space="preserve"> </w:t>
      </w:r>
      <w:proofErr w:type="spellStart"/>
      <w:r w:rsidRPr="00641EA0">
        <w:rPr>
          <w:rFonts w:ascii="Cambria" w:hAnsi="Cambria"/>
          <w:lang w:val="en-GB"/>
        </w:rPr>
        <w:t>por</w:t>
      </w:r>
      <w:proofErr w:type="spellEnd"/>
      <w:r w:rsidRPr="00641EA0">
        <w:rPr>
          <w:rFonts w:ascii="Cambria" w:hAnsi="Cambria"/>
          <w:lang w:val="en-GB"/>
        </w:rPr>
        <w:t xml:space="preserve"> Julie F. </w:t>
      </w:r>
      <w:proofErr w:type="spellStart"/>
      <w:r w:rsidRPr="00641EA0">
        <w:rPr>
          <w:rFonts w:ascii="Cambria" w:hAnsi="Cambria"/>
          <w:lang w:val="en-GB"/>
        </w:rPr>
        <w:t>Codell</w:t>
      </w:r>
      <w:proofErr w:type="spellEnd"/>
      <w:r w:rsidRPr="00641EA0">
        <w:rPr>
          <w:rFonts w:ascii="Cambria" w:hAnsi="Cambria"/>
          <w:lang w:val="en-GB"/>
        </w:rPr>
        <w:t xml:space="preserve">, 167-187. </w:t>
      </w:r>
      <w:r w:rsidRPr="00CE4987">
        <w:rPr>
          <w:rFonts w:ascii="Cambria" w:hAnsi="Cambria"/>
          <w:lang w:val="es-ES"/>
        </w:rPr>
        <w:t>Madison, N.J.: Fairleigh Dickinson University Press.</w:t>
      </w:r>
    </w:p>
    <w:p w:rsidR="007575BF" w:rsidRDefault="007575BF" w:rsidP="007575BF">
      <w:pPr>
        <w:spacing w:line="360" w:lineRule="auto"/>
        <w:jc w:val="both"/>
        <w:rPr>
          <w:lang w:val="es-ES"/>
        </w:rPr>
      </w:pPr>
    </w:p>
    <w:p w:rsidR="007575BF" w:rsidRPr="007575BF" w:rsidRDefault="007575BF" w:rsidP="007575BF">
      <w:pPr>
        <w:spacing w:line="360" w:lineRule="auto"/>
        <w:jc w:val="both"/>
        <w:rPr>
          <w:b/>
          <w:lang w:val="es-ES"/>
        </w:rPr>
      </w:pPr>
      <w:r w:rsidRPr="007575BF">
        <w:rPr>
          <w:b/>
          <w:lang w:val="es-ES"/>
        </w:rPr>
        <w:t>Plazo de envío:</w:t>
      </w:r>
    </w:p>
    <w:p w:rsidR="007575BF" w:rsidRPr="00495F21" w:rsidRDefault="007575BF" w:rsidP="007575BF">
      <w:pPr>
        <w:spacing w:line="276" w:lineRule="auto"/>
        <w:jc w:val="both"/>
        <w:rPr>
          <w:lang w:val="es-ES"/>
        </w:rPr>
      </w:pPr>
      <w:r>
        <w:rPr>
          <w:lang w:val="es-ES"/>
        </w:rPr>
        <w:t>Envío de artículos, con escrupuloso cumplimiento de las normas de la revista presentadas en http</w:t>
      </w:r>
      <w:proofErr w:type="gramStart"/>
      <w:r>
        <w:rPr>
          <w:lang w:val="es-ES"/>
        </w:rPr>
        <w:t>:/</w:t>
      </w:r>
      <w:proofErr w:type="gramEnd"/>
      <w:r>
        <w:rPr>
          <w:lang w:val="es-ES"/>
        </w:rPr>
        <w:t>/www.apem-estudos.org/es/page/s</w:t>
      </w:r>
      <w:r w:rsidR="00CE4987">
        <w:rPr>
          <w:lang w:val="es-ES"/>
        </w:rPr>
        <w:t>ubmissao-de-artigos, hasta el 30</w:t>
      </w:r>
      <w:r>
        <w:rPr>
          <w:lang w:val="es-ES"/>
        </w:rPr>
        <w:t xml:space="preserve"> de noviembre de 2018, a la dirección apem1991@gmail.com . Los textos que no respeten las normas en cuanto a la extensión, al formato y al modo de citar y referenciar las fuentes bibliográficas serán</w:t>
      </w:r>
      <w:bookmarkStart w:id="0" w:name="_GoBack"/>
      <w:bookmarkEnd w:id="0"/>
      <w:r>
        <w:rPr>
          <w:lang w:val="es-ES"/>
        </w:rPr>
        <w:t xml:space="preserve"> excluidos en una primera clasificación antes de ser enviados a arbitraje científico. En el plazo de cuatro semanas después de la fecha límite de recepción, las/los autoras/es recibirán la información sobre los resultados de la primera clasificación y el paso a la etapa siguiente, es decir, el envío, bajo anonimato, al doble arbitraje científico del texto. La fecha prevista de salida de este número es junio de 2019.</w:t>
      </w:r>
    </w:p>
    <w:p w:rsidR="007575BF" w:rsidRDefault="007575BF" w:rsidP="007575BF">
      <w:pPr>
        <w:spacing w:line="276" w:lineRule="auto"/>
        <w:jc w:val="both"/>
        <w:rPr>
          <w:lang w:val="es-ES"/>
        </w:rPr>
      </w:pPr>
    </w:p>
    <w:p w:rsidR="00104D33" w:rsidRPr="007575BF" w:rsidRDefault="007575BF" w:rsidP="007575BF">
      <w:pPr>
        <w:spacing w:line="276" w:lineRule="auto"/>
        <w:jc w:val="both"/>
        <w:rPr>
          <w:b/>
          <w:lang w:val="es-ES"/>
        </w:rPr>
      </w:pPr>
      <w:r w:rsidRPr="007575BF">
        <w:rPr>
          <w:b/>
          <w:lang w:val="es-ES"/>
        </w:rPr>
        <w:t xml:space="preserve">Además de los envíos para los </w:t>
      </w:r>
      <w:proofErr w:type="spellStart"/>
      <w:r w:rsidRPr="007575BF">
        <w:rPr>
          <w:b/>
          <w:lang w:val="es-ES"/>
        </w:rPr>
        <w:t>dossieres</w:t>
      </w:r>
      <w:proofErr w:type="spellEnd"/>
      <w:r w:rsidRPr="007575BF">
        <w:rPr>
          <w:b/>
          <w:lang w:val="es-ES"/>
        </w:rPr>
        <w:t xml:space="preserve"> temáticos, la </w:t>
      </w:r>
      <w:r>
        <w:rPr>
          <w:b/>
          <w:lang w:val="es-ES"/>
        </w:rPr>
        <w:t>e</w:t>
      </w:r>
      <w:r w:rsidRPr="007575BF">
        <w:rPr>
          <w:b/>
          <w:lang w:val="es-ES"/>
        </w:rPr>
        <w:t xml:space="preserve">x </w:t>
      </w:r>
      <w:proofErr w:type="spellStart"/>
      <w:r w:rsidRPr="007575BF">
        <w:rPr>
          <w:b/>
          <w:lang w:val="es-ES"/>
        </w:rPr>
        <w:t>æquo</w:t>
      </w:r>
      <w:proofErr w:type="spellEnd"/>
      <w:r w:rsidRPr="007575BF">
        <w:rPr>
          <w:b/>
          <w:lang w:val="es-ES"/>
        </w:rPr>
        <w:t xml:space="preserve"> acepta permanentemente contribuciones a las secciones de Estudios y Ensayos y Reseña</w:t>
      </w:r>
      <w:r w:rsidR="00104D33" w:rsidRPr="007575BF">
        <w:rPr>
          <w:b/>
          <w:lang w:val="es-ES"/>
        </w:rPr>
        <w:t>.</w:t>
      </w:r>
    </w:p>
    <w:p w:rsidR="00CF73B9" w:rsidRPr="007575BF" w:rsidRDefault="00CF73B9">
      <w:pPr>
        <w:rPr>
          <w:rFonts w:ascii="Cambria" w:hAnsi="Cambria"/>
          <w:lang w:val="es-ES"/>
        </w:rPr>
      </w:pPr>
    </w:p>
    <w:p w:rsidR="00641EA0" w:rsidRPr="00C41934" w:rsidRDefault="00C41934" w:rsidP="00641EA0">
      <w:pPr>
        <w:spacing w:after="60"/>
        <w:ind w:right="51"/>
        <w:rPr>
          <w:rFonts w:ascii="Cambria" w:hAnsi="Cambria"/>
          <w:i/>
          <w:sz w:val="32"/>
          <w:lang w:val="es-ES"/>
        </w:rPr>
      </w:pPr>
      <w:r w:rsidRPr="00E135D2">
        <w:rPr>
          <w:rFonts w:ascii="Cambria" w:hAnsi="Cambria"/>
          <w:noProof/>
          <w:sz w:val="20"/>
          <w:lang w:val="en-US" w:eastAsia="en-US"/>
        </w:rPr>
        <w:lastRenderedPageBreak/>
        <w:drawing>
          <wp:anchor distT="0" distB="0" distL="114300" distR="114300" simplePos="0" relativeHeight="251659264" behindDoc="0" locked="0" layoutInCell="1" allowOverlap="1" wp14:anchorId="6895B4FE" wp14:editId="524D565B">
            <wp:simplePos x="0" y="0"/>
            <wp:positionH relativeFrom="margin">
              <wp:posOffset>3648075</wp:posOffset>
            </wp:positionH>
            <wp:positionV relativeFrom="margin">
              <wp:posOffset>10795</wp:posOffset>
            </wp:positionV>
            <wp:extent cx="2798445" cy="2762250"/>
            <wp:effectExtent l="0" t="0" r="1905"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8445" cy="2762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41EA0" w:rsidRPr="00C41934">
        <w:rPr>
          <w:rFonts w:ascii="Cambria" w:hAnsi="Cambria"/>
          <w:b/>
          <w:i/>
          <w:sz w:val="32"/>
          <w:lang w:val="es-ES"/>
        </w:rPr>
        <w:t>ex</w:t>
      </w:r>
      <w:proofErr w:type="gramEnd"/>
      <w:r w:rsidR="00641EA0" w:rsidRPr="00C41934">
        <w:rPr>
          <w:rFonts w:ascii="Cambria" w:hAnsi="Cambria"/>
          <w:b/>
          <w:i/>
          <w:sz w:val="32"/>
          <w:lang w:val="es-ES"/>
        </w:rPr>
        <w:t xml:space="preserve"> </w:t>
      </w:r>
      <w:proofErr w:type="spellStart"/>
      <w:r w:rsidR="00641EA0" w:rsidRPr="00C41934">
        <w:rPr>
          <w:rFonts w:ascii="Cambria" w:hAnsi="Cambria"/>
          <w:b/>
          <w:i/>
          <w:sz w:val="32"/>
          <w:lang w:val="es-ES"/>
        </w:rPr>
        <w:t>æquo</w:t>
      </w:r>
      <w:proofErr w:type="spellEnd"/>
      <w:r w:rsidR="00641EA0" w:rsidRPr="00C41934">
        <w:rPr>
          <w:rFonts w:ascii="Cambria" w:hAnsi="Cambria"/>
          <w:i/>
          <w:sz w:val="32"/>
          <w:lang w:val="es-ES"/>
        </w:rPr>
        <w:t xml:space="preserve"> </w:t>
      </w:r>
    </w:p>
    <w:p w:rsidR="00C41934" w:rsidRPr="009B4261" w:rsidRDefault="00C41934" w:rsidP="00C41934">
      <w:pPr>
        <w:rPr>
          <w:rFonts w:ascii="Cambria" w:hAnsi="Cambria"/>
          <w:color w:val="595959" w:themeColor="text1" w:themeTint="A6"/>
          <w:spacing w:val="-15"/>
          <w:sz w:val="20"/>
          <w:szCs w:val="20"/>
          <w:lang w:val="es-ES_tradnl"/>
        </w:rPr>
      </w:pPr>
      <w:proofErr w:type="gramStart"/>
      <w:r w:rsidRPr="009B4261">
        <w:rPr>
          <w:rFonts w:ascii="Cambria" w:hAnsi="Cambria"/>
          <w:color w:val="595959" w:themeColor="text1" w:themeTint="A6"/>
          <w:spacing w:val="-15"/>
          <w:sz w:val="20"/>
          <w:szCs w:val="20"/>
          <w:lang w:val="es-ES_tradnl"/>
        </w:rPr>
        <w:t>es</w:t>
      </w:r>
      <w:proofErr w:type="gramEnd"/>
      <w:r w:rsidRPr="009B4261">
        <w:rPr>
          <w:rFonts w:ascii="Cambria" w:hAnsi="Cambria"/>
          <w:color w:val="595959" w:themeColor="text1" w:themeTint="A6"/>
          <w:spacing w:val="-15"/>
          <w:sz w:val="20"/>
          <w:szCs w:val="20"/>
          <w:lang w:val="es-ES_tradnl"/>
        </w:rPr>
        <w:t xml:space="preserve"> una revista internacional publicada semestralmente</w:t>
      </w:r>
      <w:r>
        <w:rPr>
          <w:rFonts w:ascii="Cambria" w:hAnsi="Cambria"/>
          <w:color w:val="595959" w:themeColor="text1" w:themeTint="A6"/>
          <w:spacing w:val="-15"/>
          <w:sz w:val="20"/>
          <w:szCs w:val="20"/>
          <w:lang w:val="es-ES_tradnl"/>
        </w:rPr>
        <w:t xml:space="preserve"> desde 1999</w:t>
      </w:r>
      <w:r w:rsidRPr="009B4261">
        <w:rPr>
          <w:rFonts w:ascii="Cambria" w:hAnsi="Cambria"/>
          <w:color w:val="595959" w:themeColor="text1" w:themeTint="A6"/>
          <w:spacing w:val="-15"/>
          <w:sz w:val="20"/>
          <w:szCs w:val="20"/>
          <w:lang w:val="es-ES_tradnl"/>
        </w:rPr>
        <w:t xml:space="preserve">, editada por la Asociación Portuguesa de Estudios de las Mujeres – APEM, en colaboración con ediciones </w:t>
      </w:r>
      <w:proofErr w:type="spellStart"/>
      <w:r w:rsidRPr="009B4261">
        <w:rPr>
          <w:rFonts w:ascii="Cambria" w:hAnsi="Cambria"/>
          <w:color w:val="595959" w:themeColor="text1" w:themeTint="A6"/>
          <w:spacing w:val="-15"/>
          <w:sz w:val="20"/>
          <w:szCs w:val="20"/>
          <w:lang w:val="es-ES_tradnl"/>
        </w:rPr>
        <w:t>Afrontamento</w:t>
      </w:r>
      <w:proofErr w:type="spellEnd"/>
      <w:r w:rsidRPr="009B4261">
        <w:rPr>
          <w:rFonts w:ascii="Cambria" w:hAnsi="Cambria"/>
          <w:color w:val="595959" w:themeColor="text1" w:themeTint="A6"/>
          <w:spacing w:val="-15"/>
          <w:sz w:val="20"/>
          <w:szCs w:val="20"/>
          <w:lang w:val="es-ES_tradnl"/>
        </w:rPr>
        <w:t xml:space="preserve">. </w:t>
      </w:r>
      <w:r w:rsidRPr="009B4261">
        <w:rPr>
          <w:rFonts w:ascii="Cambria" w:hAnsi="Cambria"/>
          <w:color w:val="595959" w:themeColor="text1" w:themeTint="A6"/>
          <w:sz w:val="20"/>
          <w:szCs w:val="20"/>
          <w:lang w:val="es-ES_tradnl"/>
        </w:rPr>
        <w:t>(</w:t>
      </w:r>
      <w:r w:rsidRPr="00BC3A89">
        <w:rPr>
          <w:rFonts w:ascii="Cambria" w:hAnsi="Cambria"/>
          <w:color w:val="595959" w:themeColor="text1" w:themeTint="A6"/>
          <w:sz w:val="20"/>
          <w:szCs w:val="20"/>
          <w:lang w:val="es-ES_tradnl"/>
        </w:rPr>
        <w:t>http://exaequo.apem-estudos.org/page/apresentacao-da-revista?lingua=en</w:t>
      </w:r>
      <w:r w:rsidRPr="009B4261">
        <w:rPr>
          <w:rFonts w:ascii="Cambria" w:hAnsi="Cambria"/>
          <w:color w:val="595959" w:themeColor="text1" w:themeTint="A6"/>
          <w:sz w:val="20"/>
          <w:szCs w:val="20"/>
          <w:lang w:val="es-ES_tradnl"/>
        </w:rPr>
        <w:t>)</w:t>
      </w:r>
    </w:p>
    <w:p w:rsidR="00C41934" w:rsidRPr="009B4261" w:rsidRDefault="00C41934" w:rsidP="00C41934">
      <w:pPr>
        <w:rPr>
          <w:rFonts w:ascii="Cambria" w:hAnsi="Cambria"/>
          <w:color w:val="595959" w:themeColor="text1" w:themeTint="A6"/>
          <w:spacing w:val="-15"/>
          <w:sz w:val="20"/>
          <w:szCs w:val="20"/>
          <w:lang w:val="es-ES_tradnl"/>
        </w:rPr>
      </w:pPr>
      <w:proofErr w:type="gramStart"/>
      <w:r w:rsidRPr="009B4261">
        <w:rPr>
          <w:rFonts w:ascii="Cambria" w:hAnsi="Cambria"/>
          <w:b/>
          <w:i/>
          <w:sz w:val="20"/>
          <w:szCs w:val="20"/>
          <w:lang w:val="es-ES_tradnl"/>
        </w:rPr>
        <w:t>ex</w:t>
      </w:r>
      <w:proofErr w:type="gramEnd"/>
      <w:r w:rsidRPr="009B4261">
        <w:rPr>
          <w:rFonts w:ascii="Cambria" w:hAnsi="Cambria"/>
          <w:b/>
          <w:i/>
          <w:sz w:val="20"/>
          <w:szCs w:val="20"/>
          <w:lang w:val="es-ES_tradnl"/>
        </w:rPr>
        <w:t xml:space="preserve"> </w:t>
      </w:r>
      <w:proofErr w:type="spellStart"/>
      <w:r w:rsidRPr="009B4261">
        <w:rPr>
          <w:rFonts w:ascii="Cambria" w:hAnsi="Cambria"/>
          <w:b/>
          <w:i/>
          <w:sz w:val="20"/>
          <w:szCs w:val="20"/>
          <w:lang w:val="es-ES_tradnl"/>
        </w:rPr>
        <w:t>æquo</w:t>
      </w:r>
      <w:proofErr w:type="spellEnd"/>
      <w:r w:rsidRPr="009B4261">
        <w:rPr>
          <w:rFonts w:ascii="Cambria" w:hAnsi="Cambria"/>
          <w:color w:val="595959" w:themeColor="text1" w:themeTint="A6"/>
          <w:spacing w:val="-15"/>
          <w:sz w:val="20"/>
          <w:szCs w:val="20"/>
          <w:lang w:val="es-ES_tradnl"/>
        </w:rPr>
        <w:t xml:space="preserve"> intenta una audiencia internacional, y acepta manuscritos en Portugués, Inglés, Francés y Español, de varios países. Pretende garantizar la publicación de artículos que contribuyan significativamente al avance del conocimiento en el campo de estudios de la mujer, feministas y de género.</w:t>
      </w:r>
    </w:p>
    <w:p w:rsidR="00C41934" w:rsidRPr="00C41934" w:rsidRDefault="00C41934" w:rsidP="00C41934">
      <w:pPr>
        <w:spacing w:after="60"/>
        <w:ind w:right="51"/>
        <w:rPr>
          <w:rFonts w:ascii="Cambria" w:hAnsi="Cambria"/>
          <w:i/>
          <w:lang w:val="es-ES"/>
        </w:rPr>
      </w:pPr>
      <w:r w:rsidRPr="009B4261">
        <w:rPr>
          <w:rFonts w:ascii="Cambria" w:hAnsi="Cambria"/>
          <w:color w:val="595959" w:themeColor="text1" w:themeTint="A6"/>
          <w:spacing w:val="-15"/>
          <w:sz w:val="20"/>
          <w:szCs w:val="20"/>
          <w:lang w:val="es-ES_tradnl"/>
        </w:rPr>
        <w:t xml:space="preserve">Los artículos enviados a </w:t>
      </w:r>
      <w:r w:rsidRPr="009B4261">
        <w:rPr>
          <w:rFonts w:ascii="Cambria" w:hAnsi="Cambria"/>
          <w:b/>
          <w:i/>
          <w:sz w:val="20"/>
          <w:szCs w:val="20"/>
          <w:lang w:val="es-ES_tradnl"/>
        </w:rPr>
        <w:t xml:space="preserve">ex </w:t>
      </w:r>
      <w:proofErr w:type="spellStart"/>
      <w:r w:rsidRPr="009B4261">
        <w:rPr>
          <w:rFonts w:ascii="Cambria" w:hAnsi="Cambria"/>
          <w:b/>
          <w:i/>
          <w:sz w:val="20"/>
          <w:szCs w:val="20"/>
          <w:lang w:val="es-ES_tradnl"/>
        </w:rPr>
        <w:t>æquo</w:t>
      </w:r>
      <w:proofErr w:type="spellEnd"/>
      <w:r w:rsidRPr="009B4261">
        <w:rPr>
          <w:rFonts w:ascii="Cambria" w:hAnsi="Cambria"/>
          <w:color w:val="595959" w:themeColor="text1" w:themeTint="A6"/>
          <w:spacing w:val="-15"/>
          <w:sz w:val="20"/>
          <w:szCs w:val="20"/>
          <w:lang w:val="es-ES_tradnl"/>
        </w:rPr>
        <w:t xml:space="preserve"> para publicación son sometidos, bajo anonimato, un proceso de arbitraje independiente dual (revisión doble ciega) por expertos nacionales e internacionales en el área respectiva en la que el texto se inscribe. </w:t>
      </w:r>
      <w:r w:rsidRPr="00C41934">
        <w:rPr>
          <w:rFonts w:ascii="Cambria" w:hAnsi="Cambria"/>
          <w:color w:val="595959" w:themeColor="text1" w:themeTint="A6"/>
          <w:spacing w:val="-15"/>
          <w:sz w:val="20"/>
          <w:szCs w:val="20"/>
          <w:lang w:val="es-ES"/>
        </w:rPr>
        <w:t>Está indexada en:</w:t>
      </w:r>
    </w:p>
    <w:p w:rsidR="00641EA0" w:rsidRPr="00C41934" w:rsidRDefault="00C41934" w:rsidP="00C41934">
      <w:pPr>
        <w:rPr>
          <w:rFonts w:ascii="Cambria" w:hAnsi="Cambria"/>
          <w:lang w:val="es-ES"/>
        </w:rPr>
      </w:pPr>
      <w:proofErr w:type="gramStart"/>
      <w:r w:rsidRPr="001C5A88">
        <w:rPr>
          <w:rFonts w:asciiTheme="majorHAnsi" w:hAnsiTheme="majorHAnsi"/>
          <w:b/>
          <w:i/>
          <w:lang w:val="es-ES_tradnl"/>
        </w:rPr>
        <w:t>ex</w:t>
      </w:r>
      <w:proofErr w:type="gramEnd"/>
      <w:r w:rsidRPr="001C5A88">
        <w:rPr>
          <w:rFonts w:asciiTheme="majorHAnsi" w:hAnsiTheme="majorHAnsi"/>
          <w:b/>
          <w:i/>
          <w:lang w:val="es-ES_tradnl"/>
        </w:rPr>
        <w:t xml:space="preserve"> </w:t>
      </w:r>
      <w:proofErr w:type="spellStart"/>
      <w:r w:rsidRPr="001C5A88">
        <w:rPr>
          <w:rFonts w:asciiTheme="majorHAnsi" w:hAnsiTheme="majorHAnsi"/>
          <w:b/>
          <w:i/>
          <w:lang w:val="es-ES_tradnl"/>
        </w:rPr>
        <w:t>æquo</w:t>
      </w:r>
      <w:proofErr w:type="spellEnd"/>
      <w:r w:rsidRPr="001C5A88">
        <w:rPr>
          <w:rFonts w:asciiTheme="majorHAnsi" w:hAnsiTheme="majorHAnsi"/>
          <w:i/>
          <w:lang w:val="es-ES_tradnl"/>
        </w:rPr>
        <w:t xml:space="preserve"> </w:t>
      </w:r>
      <w:r w:rsidRPr="00C41934">
        <w:rPr>
          <w:rFonts w:ascii="Cambria" w:hAnsi="Cambria" w:cstheme="minorHAnsi"/>
          <w:sz w:val="20"/>
          <w:lang w:val="es-ES"/>
        </w:rPr>
        <w:t xml:space="preserve">es patrocinada por la Fundación Portuguesa de Ciencia y Tecnología </w:t>
      </w:r>
      <w:r>
        <w:rPr>
          <w:rFonts w:ascii="Cambria" w:hAnsi="Cambria" w:cstheme="minorHAnsi"/>
          <w:sz w:val="20"/>
          <w:lang w:val="es-ES"/>
        </w:rPr>
        <w:t xml:space="preserve">(FCT) </w:t>
      </w:r>
      <w:r w:rsidR="00641EA0" w:rsidRPr="00C41934">
        <w:rPr>
          <w:rFonts w:ascii="Cambria" w:hAnsi="Cambria" w:cstheme="minorHAnsi"/>
          <w:sz w:val="20"/>
          <w:lang w:val="es-ES"/>
        </w:rPr>
        <w:t>(</w:t>
      </w:r>
      <w:hyperlink r:id="rId18" w:anchor="sociais" w:history="1">
        <w:r w:rsidRPr="00220A62">
          <w:rPr>
            <w:rStyle w:val="Hiperligao"/>
            <w:rFonts w:ascii="Cambria" w:hAnsi="Cambria" w:cstheme="minorHAnsi"/>
            <w:sz w:val="20"/>
            <w:lang w:val="es-ES"/>
          </w:rPr>
          <w:t>http://alfa.fct.mctes.pt/apoios/facc/estatisticas/ periodicos_2002_2006#sociais</w:t>
        </w:r>
      </w:hyperlink>
      <w:r w:rsidR="00641EA0" w:rsidRPr="00C41934">
        <w:rPr>
          <w:rFonts w:ascii="Cambria" w:hAnsi="Cambria" w:cstheme="minorHAnsi"/>
          <w:sz w:val="20"/>
          <w:lang w:val="es-ES"/>
        </w:rPr>
        <w:t>).</w:t>
      </w:r>
    </w:p>
    <w:sectPr w:rsidR="00641EA0" w:rsidRPr="00C419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0"/>
    <w:rsid w:val="00104D33"/>
    <w:rsid w:val="002920AB"/>
    <w:rsid w:val="0031123A"/>
    <w:rsid w:val="0039798E"/>
    <w:rsid w:val="00641EA0"/>
    <w:rsid w:val="007575BF"/>
    <w:rsid w:val="009F2892"/>
    <w:rsid w:val="00C41934"/>
    <w:rsid w:val="00CE4987"/>
    <w:rsid w:val="00C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7671-EE7E-41D5-9989-6414F45C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1EA0"/>
    <w:pPr>
      <w:spacing w:after="0" w:line="240" w:lineRule="auto"/>
    </w:pPr>
    <w:rPr>
      <w:rFonts w:ascii="Times New Roman" w:eastAsia="Times New Roman" w:hAnsi="Times New Roman" w:cs="Times New Roman"/>
      <w:sz w:val="24"/>
      <w:szCs w:val="24"/>
      <w:lang w:val="pt-PT"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64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Tipodeletrapredefinidodopargrafo"/>
    <w:rsid w:val="00641EA0"/>
  </w:style>
  <w:style w:type="character" w:styleId="Hiperligao">
    <w:name w:val="Hyperlink"/>
    <w:basedOn w:val="Tipodeletrapredefinidodopargrafo"/>
    <w:uiPriority w:val="99"/>
    <w:unhideWhenUsed/>
    <w:rsid w:val="00641EA0"/>
    <w:rPr>
      <w:color w:val="0563C1" w:themeColor="hyperlink"/>
      <w:u w:val="single"/>
    </w:rPr>
  </w:style>
  <w:style w:type="character" w:customStyle="1" w:styleId="apple-converted-space">
    <w:name w:val="apple-converted-space"/>
    <w:basedOn w:val="Tipodeletrapredefinidodopargrafo"/>
    <w:rsid w:val="00641EA0"/>
  </w:style>
  <w:style w:type="character" w:styleId="nfase">
    <w:name w:val="Emphasis"/>
    <w:basedOn w:val="Tipodeletrapredefinidodopargrafo"/>
    <w:uiPriority w:val="20"/>
    <w:qFormat/>
    <w:rsid w:val="00641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dbh.nsd.uib.no/publiseringskanaler/erihplus/periodical/info.action?id=482587" TargetMode="External"/><Relationship Id="rId18" Type="http://schemas.openxmlformats.org/officeDocument/2006/relationships/hyperlink" Target="http://alfa.fct.mctes.pt/apoios/facc/estatisticas/%20periodicos_2002_2006" TargetMode="External"/><Relationship Id="rId3" Type="http://schemas.openxmlformats.org/officeDocument/2006/relationships/webSettings" Target="webSettings.xml"/><Relationship Id="rId7" Type="http://schemas.openxmlformats.org/officeDocument/2006/relationships/hyperlink" Target="http://www.scielo.mec.pt/scielo.php?script=sci_serial&amp;pid=0874-5560&amp;lng=pt&amp;nrm=iso"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doaj.org/toc/2184-0385" TargetMode="External"/><Relationship Id="rId5" Type="http://schemas.openxmlformats.org/officeDocument/2006/relationships/hyperlink" Target="https://www.scopus.com/" TargetMode="External"/><Relationship Id="rId15" Type="http://schemas.openxmlformats.org/officeDocument/2006/relationships/hyperlink" Target="http://www.latindex.org/latindex/ficha?folio=26280"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okinfo.com/products_tools/multidisciplinary/scielo/" TargetMode="External"/><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1343</Words>
  <Characters>7657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2018-06-28T00:44:00Z</dcterms:created>
  <dcterms:modified xsi:type="dcterms:W3CDTF">2018-06-28T10:18:00Z</dcterms:modified>
</cp:coreProperties>
</file>