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8057" w14:textId="77777777" w:rsidR="004C0A0E" w:rsidRDefault="00861708" w:rsidP="00003976">
      <w:pPr>
        <w:spacing w:after="0" w:line="360" w:lineRule="auto"/>
        <w:jc w:val="center"/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</w:pPr>
      <w:r w:rsidRPr="00801CC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A “ideologia de </w:t>
      </w:r>
      <w:r w:rsidR="00AB78E0" w:rsidRPr="00801CC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Género</w:t>
      </w:r>
      <w:r w:rsidR="00980EF4" w:rsidRPr="00801CC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”</w:t>
      </w:r>
      <w:r w:rsidRPr="00801CC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e a </w:t>
      </w:r>
      <w:r w:rsidR="000A3C6A" w:rsidRPr="00801CC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Religião</w:t>
      </w:r>
      <w:r w:rsidR="00003976" w:rsidRPr="00801CCD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1FB3BC5D" w14:textId="2BB8230E" w:rsidR="00BB1207" w:rsidRPr="00780B8F" w:rsidRDefault="00BB1207" w:rsidP="00BB1207">
      <w:pPr>
        <w:spacing w:after="60" w:line="240" w:lineRule="auto"/>
        <w:ind w:right="49"/>
        <w:jc w:val="center"/>
        <w:rPr>
          <w:rFonts w:ascii="Cambria" w:hAnsi="Cambria"/>
        </w:rPr>
      </w:pPr>
      <w:proofErr w:type="spellStart"/>
      <w:proofErr w:type="gramStart"/>
      <w:r w:rsidRPr="00780B8F">
        <w:rPr>
          <w:rFonts w:ascii="Cambria" w:hAnsi="Cambria"/>
          <w:b/>
          <w:i/>
        </w:rPr>
        <w:t>ex</w:t>
      </w:r>
      <w:proofErr w:type="spellEnd"/>
      <w:proofErr w:type="gramEnd"/>
      <w:r w:rsidRPr="00780B8F">
        <w:rPr>
          <w:rFonts w:ascii="Cambria" w:hAnsi="Cambria"/>
          <w:b/>
          <w:i/>
        </w:rPr>
        <w:t xml:space="preserve"> </w:t>
      </w:r>
      <w:proofErr w:type="spellStart"/>
      <w:r w:rsidRPr="00780B8F">
        <w:rPr>
          <w:rFonts w:ascii="Cambria" w:hAnsi="Cambria"/>
          <w:b/>
          <w:i/>
        </w:rPr>
        <w:t>æquo</w:t>
      </w:r>
      <w:proofErr w:type="spellEnd"/>
      <w:r>
        <w:rPr>
          <w:rFonts w:ascii="Cambria" w:hAnsi="Cambria"/>
          <w:b/>
          <w:i/>
        </w:rPr>
        <w:t xml:space="preserve"> n</w:t>
      </w:r>
      <w:r>
        <w:rPr>
          <w:rFonts w:ascii="Cambria" w:hAnsi="Cambria" w:cs="Times New Roman"/>
          <w:b/>
        </w:rPr>
        <w:t>.º 37</w:t>
      </w:r>
      <w:r w:rsidRPr="00780B8F">
        <w:rPr>
          <w:rFonts w:ascii="Cambria" w:hAnsi="Cambria" w:cs="Times New Roman"/>
          <w:b/>
        </w:rPr>
        <w:t xml:space="preserve"> </w:t>
      </w:r>
    </w:p>
    <w:p w14:paraId="4D4E1014" w14:textId="77777777" w:rsidR="00BB1207" w:rsidRDefault="00BB1207" w:rsidP="00BB1207">
      <w:pPr>
        <w:shd w:val="clear" w:color="auto" w:fill="FFFFFF"/>
        <w:spacing w:after="60" w:line="240" w:lineRule="auto"/>
        <w:ind w:right="49"/>
        <w:jc w:val="center"/>
        <w:rPr>
          <w:rFonts w:ascii="Cambria" w:hAnsi="Cambria"/>
        </w:rPr>
      </w:pPr>
      <w:r>
        <w:rPr>
          <w:rFonts w:ascii="Cambria" w:hAnsi="Cambria"/>
        </w:rPr>
        <w:t>APELO A CONTRIBUTOS/CALL FOR PAPERS</w:t>
      </w:r>
    </w:p>
    <w:p w14:paraId="46CBB65E" w14:textId="69BC67CB" w:rsidR="00BB1207" w:rsidRPr="00532677" w:rsidRDefault="00BB1207" w:rsidP="00BB1207">
      <w:pPr>
        <w:shd w:val="clear" w:color="auto" w:fill="FFFFFF"/>
        <w:spacing w:after="60" w:line="240" w:lineRule="auto"/>
        <w:ind w:right="49"/>
        <w:jc w:val="center"/>
        <w:rPr>
          <w:rFonts w:ascii="Cambria" w:hAnsi="Cambria"/>
          <w:b/>
        </w:rPr>
      </w:pPr>
      <w:proofErr w:type="gramStart"/>
      <w:r w:rsidRPr="00532677">
        <w:rPr>
          <w:rFonts w:ascii="Cambria" w:hAnsi="Cambria"/>
          <w:b/>
        </w:rPr>
        <w:t>Dossier</w:t>
      </w:r>
      <w:proofErr w:type="gramEnd"/>
      <w:r w:rsidRPr="00532677">
        <w:rPr>
          <w:rFonts w:ascii="Cambria" w:hAnsi="Cambria"/>
          <w:b/>
        </w:rPr>
        <w:t>: “</w:t>
      </w:r>
      <w:r w:rsidR="00BD10B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A ‘ideologia de Género’</w:t>
      </w:r>
      <w:r w:rsidRPr="00801CC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e a Religião</w:t>
      </w:r>
      <w:r w:rsidRPr="00532677">
        <w:rPr>
          <w:rFonts w:ascii="Cambria" w:hAnsi="Cambria"/>
          <w:b/>
          <w:i/>
        </w:rPr>
        <w:t>”</w:t>
      </w:r>
      <w:r w:rsidRPr="00532677">
        <w:rPr>
          <w:rFonts w:ascii="Cambria" w:hAnsi="Cambria"/>
          <w:b/>
        </w:rPr>
        <w:t>.</w:t>
      </w:r>
    </w:p>
    <w:p w14:paraId="106B6E07" w14:textId="29CE197E" w:rsidR="00BB1207" w:rsidRDefault="00BB1207" w:rsidP="00BB1207">
      <w:pPr>
        <w:shd w:val="clear" w:color="auto" w:fill="FFFFFF"/>
        <w:spacing w:after="60" w:line="240" w:lineRule="auto"/>
        <w:ind w:left="1440" w:right="49" w:hanging="1440"/>
        <w:rPr>
          <w:rFonts w:ascii="Cambria" w:hAnsi="Cambria" w:cs="Times New Roman"/>
        </w:rPr>
      </w:pPr>
      <w:r w:rsidRPr="00780B8F">
        <w:rPr>
          <w:rFonts w:ascii="Cambria" w:hAnsi="Cambria" w:cs="Times New Roman"/>
        </w:rPr>
        <w:t>Coordena</w:t>
      </w:r>
      <w:r>
        <w:rPr>
          <w:rFonts w:ascii="Cambria" w:hAnsi="Cambria" w:cs="Times New Roman"/>
        </w:rPr>
        <w:t xml:space="preserve">ção </w:t>
      </w:r>
      <w:proofErr w:type="gramStart"/>
      <w:r>
        <w:rPr>
          <w:rFonts w:ascii="Cambria" w:hAnsi="Cambria" w:cs="Times New Roman"/>
        </w:rPr>
        <w:t>de</w:t>
      </w:r>
      <w:proofErr w:type="gramEnd"/>
      <w:r w:rsidRPr="00780B8F"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ab/>
      </w:r>
    </w:p>
    <w:p w14:paraId="4B053501" w14:textId="77777777" w:rsidR="00BB1207" w:rsidRDefault="00BB1207" w:rsidP="00BB1207">
      <w:pPr>
        <w:shd w:val="clear" w:color="auto" w:fill="FFFFFF"/>
        <w:spacing w:after="60" w:line="240" w:lineRule="auto"/>
        <w:ind w:left="1440" w:right="49" w:hanging="22"/>
        <w:rPr>
          <w:rFonts w:ascii="Cambria" w:hAnsi="Cambria"/>
        </w:rPr>
      </w:pPr>
      <w:r>
        <w:rPr>
          <w:rFonts w:ascii="Cambria" w:hAnsi="Cambria" w:cs="Times New Roman"/>
        </w:rPr>
        <w:tab/>
      </w:r>
      <w:r>
        <w:rPr>
          <w:rFonts w:ascii="Cambria" w:hAnsi="Cambria"/>
          <w:b/>
        </w:rPr>
        <w:t xml:space="preserve">Teresa </w:t>
      </w:r>
      <w:proofErr w:type="spellStart"/>
      <w:r>
        <w:rPr>
          <w:rFonts w:ascii="Cambria" w:hAnsi="Cambria"/>
          <w:b/>
        </w:rPr>
        <w:t>Toldy</w:t>
      </w:r>
      <w:proofErr w:type="spellEnd"/>
      <w:r>
        <w:rPr>
          <w:rFonts w:ascii="Cambria" w:hAnsi="Cambria"/>
        </w:rPr>
        <w:t xml:space="preserve"> – </w:t>
      </w:r>
      <w:r w:rsidRPr="00BB1207">
        <w:rPr>
          <w:rFonts w:ascii="Cambria" w:hAnsi="Cambria"/>
        </w:rPr>
        <w:t xml:space="preserve">Universidade Fernando </w:t>
      </w:r>
      <w:r>
        <w:rPr>
          <w:rFonts w:ascii="Cambria" w:hAnsi="Cambria"/>
        </w:rPr>
        <w:t xml:space="preserve">Pessoa, Porto/Centro de Estudos </w:t>
      </w:r>
      <w:r w:rsidRPr="00BB1207">
        <w:rPr>
          <w:rFonts w:ascii="Cambria" w:hAnsi="Cambria"/>
        </w:rPr>
        <w:t>Sociais da Universidade de Coimbra</w:t>
      </w:r>
    </w:p>
    <w:p w14:paraId="5DC668EA" w14:textId="21CF53C9" w:rsidR="00BB1207" w:rsidRDefault="00BB1207" w:rsidP="00BB1207">
      <w:pPr>
        <w:shd w:val="clear" w:color="auto" w:fill="FFFFFF"/>
        <w:spacing w:after="60" w:line="240" w:lineRule="auto"/>
        <w:ind w:left="1440" w:right="49" w:hanging="22"/>
        <w:rPr>
          <w:rFonts w:ascii="Cambria" w:hAnsi="Cambria" w:cs="Times New Roman"/>
          <w:bCs/>
        </w:rPr>
      </w:pPr>
      <w:r>
        <w:rPr>
          <w:rFonts w:ascii="Cambria" w:hAnsi="Cambria"/>
          <w:b/>
        </w:rPr>
        <w:t>Fernanda Henriques</w:t>
      </w:r>
      <w:r w:rsidRPr="00780B8F">
        <w:rPr>
          <w:rFonts w:ascii="Cambria" w:hAnsi="Cambria" w:cs="Times New Roman"/>
          <w:b/>
          <w:bCs/>
        </w:rPr>
        <w:t xml:space="preserve"> </w:t>
      </w:r>
      <w:r w:rsidRPr="00780B8F">
        <w:rPr>
          <w:rFonts w:ascii="Cambria" w:hAnsi="Cambria" w:cs="Times New Roman"/>
          <w:bCs/>
        </w:rPr>
        <w:t xml:space="preserve">– </w:t>
      </w:r>
      <w:proofErr w:type="spellStart"/>
      <w:r w:rsidRPr="00BB1207">
        <w:rPr>
          <w:rFonts w:ascii="Cambria" w:hAnsi="Cambria" w:cs="Times New Roman"/>
          <w:bCs/>
        </w:rPr>
        <w:t>Labcom.IFP</w:t>
      </w:r>
      <w:proofErr w:type="spellEnd"/>
      <w:r w:rsidRPr="00BB1207">
        <w:rPr>
          <w:rFonts w:ascii="Cambria" w:hAnsi="Cambria" w:cs="Times New Roman"/>
          <w:bCs/>
        </w:rPr>
        <w:t>/Núcleo da U</w:t>
      </w:r>
      <w:r>
        <w:rPr>
          <w:rFonts w:ascii="Cambria" w:hAnsi="Cambria" w:cs="Times New Roman"/>
          <w:bCs/>
        </w:rPr>
        <w:t xml:space="preserve">niversidade de Évora/Professora </w:t>
      </w:r>
      <w:r w:rsidRPr="00BB1207">
        <w:rPr>
          <w:rFonts w:ascii="Cambria" w:hAnsi="Cambria" w:cs="Times New Roman"/>
          <w:bCs/>
        </w:rPr>
        <w:t>Emérita da Universidade de Évora</w:t>
      </w:r>
    </w:p>
    <w:p w14:paraId="18BFDDBE" w14:textId="5DFB85CF" w:rsidR="00862E5F" w:rsidRPr="00BB1207" w:rsidRDefault="00862E5F" w:rsidP="00BB1207">
      <w:pPr>
        <w:shd w:val="clear" w:color="auto" w:fill="FFFFFF"/>
        <w:spacing w:after="60" w:line="240" w:lineRule="auto"/>
        <w:ind w:left="1440" w:right="49" w:hanging="22"/>
        <w:rPr>
          <w:rFonts w:ascii="Cambria" w:hAnsi="Cambria"/>
        </w:rPr>
      </w:pPr>
      <w:proofErr w:type="spellStart"/>
      <w:r w:rsidRPr="00862E5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Carmen</w:t>
      </w:r>
      <w:proofErr w:type="spellEnd"/>
      <w:r w:rsidRPr="00862E5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Bernabé</w:t>
      </w:r>
      <w:r w:rsidRPr="00862E5F">
        <w:rPr>
          <w:rFonts w:ascii="Cambria" w:hAnsi="Cambria"/>
        </w:rPr>
        <w:t xml:space="preserve"> </w:t>
      </w:r>
      <w:r w:rsidRPr="00780B8F">
        <w:rPr>
          <w:rFonts w:ascii="Cambria" w:hAnsi="Cambria" w:cs="Times New Roman"/>
          <w:bCs/>
        </w:rPr>
        <w:t>–</w:t>
      </w:r>
      <w:r>
        <w:rPr>
          <w:rFonts w:ascii="Cambria" w:hAnsi="Cambria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Universidade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Deusto</w:t>
      </w:r>
      <w:proofErr w:type="spellEnd"/>
    </w:p>
    <w:p w14:paraId="0CC6783C" w14:textId="77777777" w:rsidR="00982A87" w:rsidRDefault="00982A87" w:rsidP="00982A87">
      <w:pPr>
        <w:spacing w:after="60" w:line="240" w:lineRule="auto"/>
        <w:ind w:right="49"/>
        <w:jc w:val="center"/>
        <w:rPr>
          <w:rFonts w:ascii="Cambria" w:hAnsi="Cambria" w:cs="Times New Roman"/>
          <w:b/>
        </w:rPr>
      </w:pPr>
    </w:p>
    <w:p w14:paraId="10E2DC3C" w14:textId="1EB5B3E8" w:rsidR="00982A87" w:rsidRPr="00D54F9C" w:rsidRDefault="00982A87" w:rsidP="00982A87">
      <w:pPr>
        <w:spacing w:after="60" w:line="240" w:lineRule="auto"/>
        <w:ind w:right="49"/>
        <w:jc w:val="center"/>
      </w:pPr>
      <w:r w:rsidRPr="00D54F9C">
        <w:rPr>
          <w:rFonts w:ascii="Cambria" w:hAnsi="Cambria" w:cs="Times New Roman"/>
          <w:b/>
        </w:rPr>
        <w:t xml:space="preserve">Data de submissão – </w:t>
      </w:r>
      <w:r>
        <w:rPr>
          <w:rFonts w:ascii="Cambria" w:hAnsi="Cambria" w:cs="Times New Roman"/>
          <w:b/>
        </w:rPr>
        <w:t xml:space="preserve">30 de novembro </w:t>
      </w:r>
      <w:r w:rsidRPr="005F012E">
        <w:rPr>
          <w:rFonts w:ascii="Cambria" w:hAnsi="Cambria" w:cs="Times New Roman"/>
          <w:b/>
        </w:rPr>
        <w:t>(a publicar em maio 201</w:t>
      </w:r>
      <w:r>
        <w:rPr>
          <w:rFonts w:ascii="Cambria" w:hAnsi="Cambria" w:cs="Times New Roman"/>
          <w:b/>
        </w:rPr>
        <w:t>8</w:t>
      </w:r>
      <w:r w:rsidRPr="005F012E">
        <w:rPr>
          <w:rFonts w:ascii="Cambria" w:hAnsi="Cambria" w:cs="Times New Roman"/>
          <w:b/>
        </w:rPr>
        <w:t>)</w:t>
      </w:r>
    </w:p>
    <w:p w14:paraId="6A279D32" w14:textId="77777777" w:rsidR="00982A87" w:rsidRDefault="00982A87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459C171A" w14:textId="2B98648B" w:rsidR="00151AC4" w:rsidRPr="00801CCD" w:rsidRDefault="00AF0245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categoria de “género” é, desde o </w:t>
      </w:r>
      <w:r w:rsidR="002D3C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início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da sua utilização, polémica. Isto é verdade tanto no quadro mais diretamente </w:t>
      </w:r>
      <w:r w:rsidR="0069636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ligado aos ativismos feministas, </w:t>
      </w:r>
      <w:r w:rsidR="00556C8B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como no contexto de ativismos </w:t>
      </w:r>
      <w:proofErr w:type="spellStart"/>
      <w:r w:rsidR="00556C8B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anti-feministas</w:t>
      </w:r>
      <w:proofErr w:type="spellEnd"/>
      <w:r w:rsidR="00556C8B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O conflito entre interpretações sobre a validade ou o caráter nefasto da categoria de </w:t>
      </w:r>
      <w:r w:rsidR="00151AC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“</w:t>
      </w:r>
      <w:r w:rsidR="00556C8B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género</w:t>
      </w:r>
      <w:bookmarkStart w:id="0" w:name="_GoBack"/>
      <w:bookmarkEnd w:id="0"/>
      <w:r w:rsidR="00151AC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”</w:t>
      </w:r>
      <w:r w:rsidR="00556C8B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é também visível no contexto </w:t>
      </w:r>
      <w:r w:rsidR="0069636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académico,</w:t>
      </w:r>
      <w:r w:rsidR="00151AC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desde ser vista como categoria analítica imprescindível para os estudos feministas, até ser considerada um obstáculo para o desenvolvimento destes.</w:t>
      </w:r>
      <w:r w:rsidR="00BE40F6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As próprias teóricas do género têm perspetivas diferentes sobre o sentido e a oportunidade de tal categoria </w:t>
      </w:r>
      <w:r w:rsidR="0059071D" w:rsidRPr="0059071D">
        <w:rPr>
          <w:rFonts w:ascii="Cambria" w:hAnsi="Cambria" w:cs="Times New Roman"/>
          <w:color w:val="000000" w:themeColor="text1"/>
          <w:sz w:val="24"/>
          <w:szCs w:val="24"/>
        </w:rPr>
        <w:t>(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  <w:szCs w:val="24"/>
        </w:rPr>
        <w:t>Braidotti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  <w:szCs w:val="24"/>
        </w:rPr>
        <w:t xml:space="preserve"> 2004; </w:t>
      </w:r>
      <w:proofErr w:type="spellStart"/>
      <w:r w:rsidR="0059071D" w:rsidRPr="0059071D">
        <w:rPr>
          <w:rFonts w:ascii="Cambria" w:eastAsia="DejaVuSerif" w:hAnsi="Cambria" w:cs="Times New Roman"/>
          <w:color w:val="000000" w:themeColor="text1"/>
          <w:sz w:val="24"/>
          <w:szCs w:val="24"/>
        </w:rPr>
        <w:t>Butler</w:t>
      </w:r>
      <w:proofErr w:type="spellEnd"/>
      <w:r w:rsidR="0059071D" w:rsidRPr="0059071D">
        <w:rPr>
          <w:rFonts w:ascii="Cambria" w:eastAsia="DejaVuSerif" w:hAnsi="Cambria" w:cs="Times New Roman"/>
          <w:color w:val="000000" w:themeColor="text1"/>
          <w:sz w:val="24"/>
          <w:szCs w:val="24"/>
        </w:rPr>
        <w:t xml:space="preserve"> 1990; </w:t>
      </w:r>
      <w:proofErr w:type="spellStart"/>
      <w:r w:rsidR="0059071D" w:rsidRPr="0059071D">
        <w:rPr>
          <w:rFonts w:ascii="Cambria" w:eastAsia="DejaVuSerif" w:hAnsi="Cambria" w:cs="Times New Roman"/>
          <w:color w:val="000000" w:themeColor="text1"/>
          <w:sz w:val="24"/>
          <w:szCs w:val="24"/>
        </w:rPr>
        <w:t>Butler</w:t>
      </w:r>
      <w:proofErr w:type="spellEnd"/>
      <w:r w:rsidR="0059071D" w:rsidRPr="0059071D">
        <w:rPr>
          <w:rFonts w:ascii="Cambria" w:eastAsia="DejaVuSerif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071D" w:rsidRPr="0059071D">
        <w:rPr>
          <w:rFonts w:ascii="Cambria" w:eastAsia="DejaVuSerif-Italic" w:hAnsi="Cambria" w:cs="Times New Roman"/>
          <w:i/>
          <w:iCs/>
          <w:color w:val="000000" w:themeColor="text1"/>
          <w:sz w:val="24"/>
          <w:szCs w:val="24"/>
        </w:rPr>
        <w:t>et</w:t>
      </w:r>
      <w:proofErr w:type="spellEnd"/>
      <w:r w:rsidR="0059071D" w:rsidRPr="0059071D">
        <w:rPr>
          <w:rFonts w:ascii="Cambria" w:eastAsia="DejaVuSerif-Italic" w:hAnsi="Cambria" w:cs="Times New Roman"/>
          <w:i/>
          <w:iCs/>
          <w:color w:val="000000" w:themeColor="text1"/>
          <w:sz w:val="24"/>
          <w:szCs w:val="24"/>
        </w:rPr>
        <w:t xml:space="preserve"> al. </w:t>
      </w:r>
      <w:r w:rsidR="0059071D" w:rsidRPr="0059071D">
        <w:rPr>
          <w:rFonts w:ascii="Cambria" w:eastAsia="DejaVuSerif-Italic" w:hAnsi="Cambria" w:cs="Times New Roman"/>
          <w:iCs/>
          <w:color w:val="000000" w:themeColor="text1"/>
          <w:sz w:val="24"/>
          <w:szCs w:val="24"/>
        </w:rPr>
        <w:t>2007; Scott 2010</w:t>
      </w:r>
      <w:r w:rsidR="0059071D" w:rsidRPr="0059071D">
        <w:rPr>
          <w:rFonts w:ascii="Cambria" w:hAnsi="Cambria" w:cs="Times New Roman"/>
          <w:color w:val="000000" w:themeColor="text1"/>
          <w:sz w:val="24"/>
          <w:szCs w:val="24"/>
        </w:rPr>
        <w:t>)</w:t>
      </w:r>
      <w:r w:rsidR="00BE40F6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14:paraId="3516CAB2" w14:textId="163514CA" w:rsidR="002D3C1F" w:rsidRPr="00801CCD" w:rsidRDefault="002D3C1F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Acontece, contudo, que, </w:t>
      </w:r>
      <w:r w:rsidR="00861708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partir de 2013,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</w:t>
      </w:r>
      <w:r w:rsidR="00CB4EB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Expressão 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ideologia de género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tem sido </w:t>
      </w:r>
      <w:r w:rsidR="003B6392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sobretudo re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usada </w:t>
      </w:r>
      <w:r w:rsidR="00861708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nos discursos da Igreja Católica </w:t>
      </w:r>
      <w:r w:rsidR="00CB4EB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não só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como </w:t>
      </w:r>
      <w:r w:rsidR="00CB4EB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sendo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uma perspetiva negativa sobre a natureza humana no feminino, nefasta para as mulheres e, de alguma maneira, contrária a um são ponto de vista cristão</w:t>
      </w:r>
      <w:r w:rsidR="00CB4EB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, como também, como se “género” fosse um conceito sem controvérsia e não comportasse um imenso leque de perspetivas (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  <w:szCs w:val="24"/>
        </w:rPr>
        <w:t>Favier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  <w:szCs w:val="24"/>
        </w:rPr>
        <w:t xml:space="preserve"> 2012; </w:t>
      </w:r>
      <w:proofErr w:type="spellStart"/>
      <w:r w:rsidR="0059071D">
        <w:rPr>
          <w:rFonts w:ascii="Cambria" w:hAnsi="Cambria" w:cs="Times New Roman"/>
          <w:color w:val="000000" w:themeColor="text1"/>
          <w:sz w:val="24"/>
          <w:szCs w:val="24"/>
        </w:rPr>
        <w:t>Ruether</w:t>
      </w:r>
      <w:proofErr w:type="spellEnd"/>
      <w:r w:rsidR="0059071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59071D" w:rsidRPr="0059071D">
        <w:rPr>
          <w:rFonts w:ascii="Cambria" w:hAnsi="Cambria" w:cs="Times New Roman"/>
          <w:color w:val="000000" w:themeColor="text1"/>
          <w:sz w:val="24"/>
          <w:szCs w:val="24"/>
        </w:rPr>
        <w:t>2008</w:t>
      </w:r>
      <w:r w:rsidR="00CB4EB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14:paraId="0C4FC698" w14:textId="1D6D1394" w:rsidR="002D3C1F" w:rsidRPr="00801CCD" w:rsidRDefault="00CB4EB4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Assim, </w:t>
      </w:r>
      <w:r w:rsidR="002D3C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estes discursos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, por um lado, parecem relevar de um desconhecimento das polémicas teóricas acerca da questão da natureza humana no feminino e</w:t>
      </w:r>
      <w:r w:rsidR="00BE40F6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do conceito de género e,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por outro, </w:t>
      </w:r>
      <w:r w:rsidR="002D3C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revelam, eles próprios, uma “ideologia de género”, isto é: o</w:t>
      </w:r>
      <w:r w:rsidR="00FA2B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2D3C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discurso</w:t>
      </w:r>
      <w:r w:rsidR="00FA2B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2D3C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dos documentos oficiais da IC são, eles próprios, reveladores de uma posição ideológica </w:t>
      </w:r>
      <w:r w:rsidR="00FE68C6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 poder </w:t>
      </w:r>
      <w:r w:rsidR="002D3C1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face às mulheres – uma perspetiva construída que reivindica corresponder à “essência da mulher”, definida de acordo com um plano transcendente inalterável</w:t>
      </w:r>
      <w:r w:rsidR="00FE68C6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</w:rPr>
        <w:t>Graff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</w:rPr>
        <w:t xml:space="preserve"> 2016; 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</w:rPr>
        <w:t>Bracke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</w:rPr>
        <w:t xml:space="preserve"> 2016; 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</w:rPr>
        <w:t>Perintfalvi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</w:rPr>
        <w:t xml:space="preserve"> 2016</w:t>
      </w:r>
      <w:r w:rsidR="000813F2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).</w:t>
      </w:r>
    </w:p>
    <w:p w14:paraId="712ECF0C" w14:textId="2C9BA5CE" w:rsidR="004F1D7F" w:rsidRPr="00801CCD" w:rsidRDefault="008571E3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Esta posição da IC já ultrapassou o restrito âmbito religioso e confessional, uma vez que tem sido </w:t>
      </w:r>
      <w:proofErr w:type="spellStart"/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veicu</w:t>
      </w:r>
      <w:r w:rsidR="00E1575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la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lada</w:t>
      </w:r>
      <w:proofErr w:type="spellEnd"/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não só nos documentos do Vaticano ou das Conferências Episcopais de diversos países, mas também por grupos que fizeram da “crítica à ideologia de género” (identificada como o reconhecimento de que o género é uma construção social do sexo) uma militância com interferência na educação</w:t>
      </w:r>
      <w:r w:rsidR="00FE2658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</w:t>
      </w:r>
      <w:r w:rsid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veja-se, por exemplo, </w:t>
      </w:r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“Do </w:t>
      </w:r>
      <w:proofErr w:type="spellStart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not</w:t>
      </w:r>
      <w:proofErr w:type="spellEnd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mess</w:t>
      </w:r>
      <w:proofErr w:type="spellEnd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with</w:t>
      </w:r>
      <w:proofErr w:type="spellEnd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my</w:t>
      </w:r>
      <w:proofErr w:type="spellEnd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kids</w:t>
      </w:r>
      <w:proofErr w:type="spellEnd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: No to </w:t>
      </w:r>
      <w:proofErr w:type="spellStart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gender</w:t>
      </w:r>
      <w:proofErr w:type="spellEnd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ideology</w:t>
      </w:r>
      <w:proofErr w:type="spellEnd"/>
      <w:r w:rsidR="008C1818" w:rsidRPr="008C1818">
        <w:rPr>
          <w:rFonts w:asciiTheme="majorHAnsi" w:hAnsiTheme="majorHAnsi" w:cs="Times New Roman"/>
          <w:color w:val="000000" w:themeColor="text1"/>
          <w:sz w:val="24"/>
          <w:szCs w:val="24"/>
        </w:rPr>
        <w:t>”</w:t>
      </w:r>
      <w:r w:rsidR="008C181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disponível em </w:t>
      </w:r>
      <w:r w:rsidR="00FE2658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https://www.dejusticia.org/en/do-not-mess-with-my-kids-no-to-gender-ideology/</w:t>
      </w:r>
      <w:r w:rsidR="00930858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14:paraId="04C94869" w14:textId="77777777" w:rsidR="007119CF" w:rsidRPr="00801CCD" w:rsidRDefault="008571E3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Importa, por todas as razões apontadas, mostrar o logro em que a expressão “ideologia de género” assenta, tanto mais que, p</w:t>
      </w:r>
      <w:r w:rsidR="00151AC4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or outro lado, o tratamento da questão do “género”</w:t>
      </w:r>
      <w:r w:rsidR="007119CF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tem vindo a adquirir uma relevância cada vez maior no contexto dos movimentos feministas de várias religiões, nomeadamente, das religiões monoteístas.</w:t>
      </w:r>
    </w:p>
    <w:p w14:paraId="38EB8C88" w14:textId="56630E10" w:rsidR="0069636F" w:rsidRPr="00801CCD" w:rsidRDefault="007119CF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Tendo como pressuposto que, mesmo nos estados laicos, as simbologias religiosas desempenham um papel essencial para o estabelecimento de uma representação antropológica simétrica de mulheres e de homens</w:t>
      </w:r>
      <w:r w:rsidR="008571E3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</w:rPr>
        <w:t>Toldy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</w:rPr>
        <w:t xml:space="preserve"> 2010;</w:t>
      </w:r>
      <w:r w:rsidR="0059071D">
        <w:rPr>
          <w:rFonts w:ascii="Cambria" w:hAnsi="Cambria" w:cs="Times New Roman"/>
          <w:color w:val="000000" w:themeColor="text1"/>
          <w:sz w:val="24"/>
        </w:rPr>
        <w:t xml:space="preserve"> Henriques 2011</w:t>
      </w:r>
      <w:r w:rsidR="0059071D" w:rsidRPr="0059071D">
        <w:rPr>
          <w:rFonts w:ascii="Cambria" w:hAnsi="Cambria" w:cs="Times New Roman"/>
          <w:color w:val="000000" w:themeColor="text1"/>
          <w:sz w:val="24"/>
        </w:rPr>
        <w:t xml:space="preserve">; Henriques e 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</w:rPr>
        <w:t>Toldy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</w:rPr>
        <w:t xml:space="preserve"> 2012; </w:t>
      </w:r>
      <w:proofErr w:type="spellStart"/>
      <w:r w:rsidR="0059071D" w:rsidRPr="0059071D">
        <w:rPr>
          <w:rFonts w:ascii="Cambria" w:hAnsi="Cambria" w:cs="Times New Roman"/>
          <w:color w:val="000000" w:themeColor="text1"/>
          <w:sz w:val="24"/>
        </w:rPr>
        <w:t>Toldy</w:t>
      </w:r>
      <w:proofErr w:type="spellEnd"/>
      <w:r w:rsidR="0059071D" w:rsidRPr="0059071D">
        <w:rPr>
          <w:rFonts w:ascii="Cambria" w:hAnsi="Cambria" w:cs="Times New Roman"/>
          <w:color w:val="000000" w:themeColor="text1"/>
          <w:sz w:val="24"/>
        </w:rPr>
        <w:t xml:space="preserve"> e Santos 2014</w:t>
      </w:r>
      <w:r w:rsidR="003B6392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861708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é </w:t>
      </w:r>
      <w:r w:rsidR="005E5CDD"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absoluta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mente relevante tratar da problemática de género também do ponto de vista dos discursos religiosos. </w:t>
      </w:r>
    </w:p>
    <w:p w14:paraId="019B0E10" w14:textId="00650BCD" w:rsidR="00801CCD" w:rsidRPr="00801CCD" w:rsidRDefault="00801CCD" w:rsidP="00801CC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01CCD">
        <w:rPr>
          <w:rFonts w:asciiTheme="majorHAnsi" w:hAnsiTheme="majorHAnsi" w:cs="Times New Roman"/>
          <w:sz w:val="24"/>
          <w:szCs w:val="24"/>
        </w:rPr>
        <w:t xml:space="preserve">Este número da Revista </w:t>
      </w:r>
      <w:proofErr w:type="spellStart"/>
      <w:r w:rsidRPr="00801CCD">
        <w:rPr>
          <w:rFonts w:asciiTheme="majorHAnsi" w:hAnsiTheme="majorHAnsi" w:cs="Times New Roman"/>
          <w:b/>
          <w:i/>
          <w:sz w:val="24"/>
          <w:szCs w:val="24"/>
        </w:rPr>
        <w:t>ex</w:t>
      </w:r>
      <w:proofErr w:type="spellEnd"/>
      <w:r w:rsidRPr="00801CC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801CCD">
        <w:rPr>
          <w:rFonts w:asciiTheme="majorHAnsi" w:hAnsiTheme="majorHAnsi" w:cs="Times New Roman"/>
          <w:b/>
          <w:i/>
          <w:sz w:val="24"/>
          <w:szCs w:val="24"/>
        </w:rPr>
        <w:t>æquo</w:t>
      </w:r>
      <w:proofErr w:type="spellEnd"/>
      <w:r w:rsidRPr="00801CC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801CCD">
        <w:rPr>
          <w:rFonts w:asciiTheme="majorHAnsi" w:hAnsiTheme="majorHAnsi" w:cs="Times New Roman"/>
          <w:sz w:val="24"/>
          <w:szCs w:val="24"/>
        </w:rPr>
        <w:t xml:space="preserve">pretende propostas de artigos que contribuam </w:t>
      </w:r>
      <w:proofErr w:type="gramStart"/>
      <w:r w:rsidRPr="00801CCD">
        <w:rPr>
          <w:rFonts w:asciiTheme="majorHAnsi" w:hAnsiTheme="majorHAnsi" w:cs="Times New Roman"/>
          <w:sz w:val="24"/>
          <w:szCs w:val="24"/>
        </w:rPr>
        <w:t>para</w:t>
      </w:r>
      <w:proofErr w:type="gramEnd"/>
      <w:r w:rsidRPr="00801CCD">
        <w:rPr>
          <w:rFonts w:asciiTheme="majorHAnsi" w:hAnsiTheme="majorHAnsi" w:cs="Times New Roman"/>
          <w:sz w:val="24"/>
          <w:szCs w:val="24"/>
        </w:rPr>
        <w:t>:</w:t>
      </w:r>
    </w:p>
    <w:p w14:paraId="34771A62" w14:textId="4FC7E86B" w:rsidR="00801CCD" w:rsidRPr="00BF67E4" w:rsidRDefault="00801CCD" w:rsidP="00BF67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BF67E4">
        <w:rPr>
          <w:rFonts w:asciiTheme="majorHAnsi" w:hAnsiTheme="majorHAnsi" w:cs="Times New Roman"/>
          <w:sz w:val="24"/>
          <w:szCs w:val="24"/>
        </w:rPr>
        <w:t>esclarecer</w:t>
      </w:r>
      <w:proofErr w:type="gramEnd"/>
      <w:r w:rsidRPr="00BF67E4">
        <w:rPr>
          <w:rFonts w:asciiTheme="majorHAnsi" w:hAnsiTheme="majorHAnsi" w:cs="Times New Roman"/>
          <w:sz w:val="24"/>
          <w:szCs w:val="24"/>
        </w:rPr>
        <w:t xml:space="preserve"> a expressão “ideologia de género”,  desconstruir os  pressupostos que suportam o uso da expressão “ideologia de género”,</w:t>
      </w:r>
    </w:p>
    <w:p w14:paraId="583BFFA3" w14:textId="11582F51" w:rsidR="00801CCD" w:rsidRPr="00BF67E4" w:rsidRDefault="00801CCD" w:rsidP="00BF67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BF67E4">
        <w:rPr>
          <w:rFonts w:asciiTheme="majorHAnsi" w:hAnsiTheme="majorHAnsi" w:cs="Times New Roman"/>
          <w:sz w:val="24"/>
          <w:szCs w:val="24"/>
        </w:rPr>
        <w:t>constituir</w:t>
      </w:r>
      <w:proofErr w:type="gramEnd"/>
      <w:r w:rsidRPr="00BF67E4">
        <w:rPr>
          <w:rFonts w:asciiTheme="majorHAnsi" w:hAnsiTheme="majorHAnsi" w:cs="Times New Roman"/>
          <w:sz w:val="24"/>
          <w:szCs w:val="24"/>
        </w:rPr>
        <w:t xml:space="preserve"> um quadro teórico que trate de diferentes perspetivas a categoria do “género”</w:t>
      </w:r>
    </w:p>
    <w:p w14:paraId="10CAF3FC" w14:textId="7F1BF4EA" w:rsidR="00801CCD" w:rsidRPr="00BF67E4" w:rsidRDefault="00801CCD" w:rsidP="00BF67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BF67E4">
        <w:rPr>
          <w:rFonts w:asciiTheme="majorHAnsi" w:hAnsiTheme="majorHAnsi" w:cs="Times New Roman"/>
          <w:sz w:val="24"/>
          <w:szCs w:val="24"/>
        </w:rPr>
        <w:t>cruzar</w:t>
      </w:r>
      <w:proofErr w:type="gramEnd"/>
      <w:r w:rsidRPr="00BF67E4">
        <w:rPr>
          <w:rFonts w:asciiTheme="majorHAnsi" w:hAnsiTheme="majorHAnsi" w:cs="Times New Roman"/>
          <w:sz w:val="24"/>
          <w:szCs w:val="24"/>
        </w:rPr>
        <w:t xml:space="preserve"> criticamente as questões de “género” com a posição da Igreja Católica face à mesma</w:t>
      </w:r>
    </w:p>
    <w:p w14:paraId="54FECB95" w14:textId="6E8FA194" w:rsidR="00801CCD" w:rsidRPr="00BF67E4" w:rsidRDefault="00801CCD" w:rsidP="00BF67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BF67E4">
        <w:rPr>
          <w:rFonts w:asciiTheme="majorHAnsi" w:hAnsiTheme="majorHAnsi" w:cs="Times New Roman"/>
          <w:sz w:val="24"/>
          <w:szCs w:val="24"/>
        </w:rPr>
        <w:t>apresentar</w:t>
      </w:r>
      <w:proofErr w:type="gramEnd"/>
      <w:r w:rsidRPr="00BF67E4">
        <w:rPr>
          <w:rFonts w:asciiTheme="majorHAnsi" w:hAnsiTheme="majorHAnsi" w:cs="Times New Roman"/>
          <w:sz w:val="24"/>
          <w:szCs w:val="24"/>
        </w:rPr>
        <w:t xml:space="preserve"> criticamente políticas ou iniciativas existentes atualmente para uma “despolitização das escolas” focada na erradicação da chamada “ideologia de género”</w:t>
      </w:r>
    </w:p>
    <w:p w14:paraId="3F82566B" w14:textId="77777777" w:rsidR="00801CCD" w:rsidRPr="00801CCD" w:rsidRDefault="00801CCD" w:rsidP="00801CC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63A2164" w14:textId="7C0A39F4" w:rsidR="00801CCD" w:rsidRPr="00801CCD" w:rsidRDefault="00801CCD" w:rsidP="00801CC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801CCD">
        <w:rPr>
          <w:rFonts w:asciiTheme="majorHAnsi" w:hAnsiTheme="majorHAnsi" w:cs="Times New Roman"/>
          <w:sz w:val="24"/>
          <w:szCs w:val="24"/>
          <w:lang w:val="en-US"/>
        </w:rPr>
        <w:t>Referências</w:t>
      </w:r>
      <w:proofErr w:type="spellEnd"/>
    </w:p>
    <w:p w14:paraId="117D34C6" w14:textId="77777777" w:rsidR="00F637E3" w:rsidRPr="00F637E3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proofErr w:type="spell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Bracke</w:t>
      </w:r>
      <w:proofErr w:type="spellEnd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 Sarah. 2016.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“Unpacking the Sin of Gender”. </w:t>
      </w:r>
      <w:r w:rsidRPr="00F637E3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Religion and Gender</w:t>
      </w:r>
      <w:r w:rsidRPr="00F637E3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6(2), 143–154.</w:t>
      </w:r>
    </w:p>
    <w:p w14:paraId="0B5E479B" w14:textId="77777777" w:rsidR="00F637E3" w:rsidRPr="00BD5BB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Braidotti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Rosi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. 2004. 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es-ES"/>
        </w:rPr>
        <w:t xml:space="preserve">Feminismo, diferencia sexual y subjetividad </w:t>
      </w:r>
      <w:r>
        <w:rPr>
          <w:rFonts w:asciiTheme="majorHAnsi" w:hAnsiTheme="majorHAnsi" w:cs="Times New Roman"/>
          <w:i/>
          <w:color w:val="000000" w:themeColor="text1"/>
          <w:sz w:val="24"/>
          <w:szCs w:val="24"/>
          <w:lang w:val="es-ES"/>
        </w:rPr>
        <w:t>nómade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es-ES"/>
        </w:rPr>
        <w:t>.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s-ES"/>
        </w:rPr>
        <w:t xml:space="preserve"> </w:t>
      </w:r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Barcelona: </w:t>
      </w: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Gedisa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.</w:t>
      </w:r>
    </w:p>
    <w:p w14:paraId="3AEDB736" w14:textId="77777777" w:rsidR="00F637E3" w:rsidRPr="00BD5BB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>Butler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 Judith </w:t>
      </w:r>
      <w:r w:rsidRPr="00801CCD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fr-FR"/>
        </w:rPr>
        <w:t>et al.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 2007. 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« Pour 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>ne pas en finir avec le ‘genre’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... </w:t>
      </w:r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Table ronde », </w:t>
      </w:r>
      <w:proofErr w:type="spellStart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>Sociétés</w:t>
      </w:r>
      <w:proofErr w:type="spellEnd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>Représentations</w:t>
      </w:r>
      <w:proofErr w:type="spellEnd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2(24), 285-306. DOI 10.3917/sr.024.0285</w:t>
      </w:r>
    </w:p>
    <w:p w14:paraId="4C9A6B68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Butler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Judith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1990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Gender Trouble: Feminism and the Subversion of Identity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 New York: Routledge.</w:t>
      </w:r>
    </w:p>
    <w:p w14:paraId="5B1757FC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Favier, Anthony. 2012. 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>reception</w:t>
      </w:r>
      <w:proofErr w:type="spellEnd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 xml:space="preserve"> catholique des études de genre: Une approche historique, en contexte francophone. Le genre, approches d’</w:t>
      </w:r>
      <w:proofErr w:type="spellStart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>épassionnées</w:t>
      </w:r>
      <w:proofErr w:type="spellEnd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 xml:space="preserve"> d'un débat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, Lille, France. &lt;halshs-00765786&gt;</w:t>
      </w:r>
    </w:p>
    <w:p w14:paraId="29974B45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</w:pPr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lastRenderedPageBreak/>
        <w:t xml:space="preserve">Graff, </w:t>
      </w: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Agnieszka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.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2016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.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 “‘Gender Ideology’: Weak Concepts, Powerful Politics, in: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en-US"/>
        </w:rPr>
        <w:t xml:space="preserve"> Religion and Gender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6(2),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264–272.</w:t>
      </w:r>
    </w:p>
    <w:p w14:paraId="2C2F5F0C" w14:textId="77777777" w:rsidR="00F637E3" w:rsidRPr="00801CCD" w:rsidRDefault="00F637E3" w:rsidP="00F637E3">
      <w:pPr>
        <w:pStyle w:val="Default"/>
        <w:spacing w:after="120" w:line="276" w:lineRule="auto"/>
        <w:ind w:left="709" w:hanging="709"/>
        <w:jc w:val="both"/>
        <w:rPr>
          <w:rFonts w:asciiTheme="majorHAnsi" w:hAnsiTheme="majorHAnsi" w:cs="Times New Roman"/>
          <w:color w:val="000000" w:themeColor="text1"/>
        </w:rPr>
      </w:pPr>
      <w:r w:rsidRPr="00801CCD">
        <w:rPr>
          <w:rFonts w:asciiTheme="majorHAnsi" w:hAnsiTheme="majorHAnsi" w:cs="Times New Roman"/>
          <w:color w:val="000000" w:themeColor="text1"/>
        </w:rPr>
        <w:t>Henriques</w:t>
      </w:r>
      <w:r>
        <w:rPr>
          <w:rFonts w:asciiTheme="majorHAnsi" w:hAnsiTheme="majorHAnsi" w:cs="Times New Roman"/>
          <w:color w:val="000000" w:themeColor="text1"/>
        </w:rPr>
        <w:t>,</w:t>
      </w:r>
      <w:r w:rsidRPr="00801CCD">
        <w:rPr>
          <w:rFonts w:asciiTheme="majorHAnsi" w:hAnsiTheme="majorHAnsi" w:cs="Times New Roman"/>
          <w:color w:val="000000" w:themeColor="text1"/>
        </w:rPr>
        <w:t xml:space="preserve"> Fernanda</w:t>
      </w:r>
      <w:r>
        <w:rPr>
          <w:rFonts w:asciiTheme="majorHAnsi" w:hAnsiTheme="majorHAnsi" w:cs="Times New Roman"/>
          <w:color w:val="000000" w:themeColor="text1"/>
        </w:rPr>
        <w:t>. 2011.</w:t>
      </w:r>
      <w:r w:rsidRPr="00801CCD">
        <w:rPr>
          <w:rFonts w:asciiTheme="majorHAnsi" w:hAnsiTheme="majorHAnsi" w:cs="Times New Roman"/>
          <w:color w:val="000000" w:themeColor="text1"/>
        </w:rPr>
        <w:t xml:space="preserve"> “Teologia e Feminismo”</w:t>
      </w:r>
      <w:r>
        <w:rPr>
          <w:rFonts w:asciiTheme="majorHAnsi" w:hAnsiTheme="majorHAnsi" w:cs="Times New Roman"/>
          <w:color w:val="000000" w:themeColor="text1"/>
        </w:rPr>
        <w:t>.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i/>
          <w:color w:val="000000" w:themeColor="text1"/>
        </w:rPr>
        <w:t>In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i/>
          <w:iCs/>
          <w:color w:val="000000" w:themeColor="text1"/>
        </w:rPr>
        <w:t>E Deus criou a Mulher. Mulheres e teologia</w:t>
      </w:r>
      <w:r>
        <w:rPr>
          <w:rFonts w:asciiTheme="majorHAnsi" w:hAnsiTheme="majorHAnsi" w:cs="Times New Roman"/>
          <w:i/>
          <w:iCs/>
          <w:color w:val="000000" w:themeColor="text1"/>
        </w:rPr>
        <w:t xml:space="preserve">, </w:t>
      </w:r>
      <w:r w:rsidRPr="00F637E3">
        <w:rPr>
          <w:rFonts w:asciiTheme="majorHAnsi" w:hAnsiTheme="majorHAnsi" w:cs="Times New Roman"/>
          <w:iCs/>
          <w:color w:val="000000" w:themeColor="text1"/>
        </w:rPr>
        <w:t>organizado por</w:t>
      </w:r>
      <w:r w:rsidRPr="00801CCD">
        <w:rPr>
          <w:rFonts w:asciiTheme="majorHAnsi" w:hAnsiTheme="majorHAnsi" w:cs="Times New Roman"/>
          <w:color w:val="000000" w:themeColor="text1"/>
        </w:rPr>
        <w:t xml:space="preserve"> Anselmo Borges e Isabel Caldeira</w:t>
      </w:r>
      <w:r>
        <w:rPr>
          <w:rFonts w:asciiTheme="majorHAnsi" w:hAnsiTheme="majorHAnsi" w:cs="Times New Roman"/>
          <w:color w:val="000000" w:themeColor="text1"/>
        </w:rPr>
        <w:t>, pp. 13-33. Coimbra: Nova Delphi</w:t>
      </w:r>
      <w:r w:rsidRPr="00801CCD">
        <w:rPr>
          <w:rFonts w:asciiTheme="majorHAnsi" w:hAnsiTheme="majorHAnsi" w:cs="Times New Roman"/>
          <w:color w:val="000000" w:themeColor="text1"/>
        </w:rPr>
        <w:t xml:space="preserve">. </w:t>
      </w:r>
    </w:p>
    <w:p w14:paraId="305E260D" w14:textId="77777777" w:rsidR="00F637E3" w:rsidRPr="00801CCD" w:rsidRDefault="00F637E3" w:rsidP="00F637E3">
      <w:pPr>
        <w:pStyle w:val="Default"/>
        <w:spacing w:after="120" w:line="276" w:lineRule="auto"/>
        <w:ind w:left="709" w:hanging="709"/>
        <w:jc w:val="both"/>
        <w:rPr>
          <w:rFonts w:asciiTheme="majorHAnsi" w:hAnsiTheme="majorHAnsi" w:cs="Times New Roman"/>
          <w:color w:val="000000" w:themeColor="text1"/>
        </w:rPr>
      </w:pPr>
      <w:r w:rsidRPr="00801CCD">
        <w:rPr>
          <w:rFonts w:asciiTheme="majorHAnsi" w:hAnsiTheme="majorHAnsi" w:cs="Times New Roman"/>
          <w:color w:val="000000" w:themeColor="text1"/>
        </w:rPr>
        <w:t>Henriques</w:t>
      </w:r>
      <w:r>
        <w:rPr>
          <w:rFonts w:asciiTheme="majorHAnsi" w:hAnsiTheme="majorHAnsi" w:cs="Times New Roman"/>
          <w:color w:val="000000" w:themeColor="text1"/>
        </w:rPr>
        <w:t>,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  <w:color w:val="000000" w:themeColor="text1"/>
        </w:rPr>
        <w:t>Fernanda;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1CCD">
        <w:rPr>
          <w:rFonts w:asciiTheme="majorHAnsi" w:hAnsiTheme="majorHAnsi" w:cs="Times New Roman"/>
          <w:color w:val="000000" w:themeColor="text1"/>
        </w:rPr>
        <w:t>Toldy</w:t>
      </w:r>
      <w:proofErr w:type="spellEnd"/>
      <w:r>
        <w:rPr>
          <w:rFonts w:asciiTheme="majorHAnsi" w:hAnsiTheme="majorHAnsi" w:cs="Times New Roman"/>
          <w:color w:val="000000" w:themeColor="text1"/>
        </w:rPr>
        <w:t>,</w:t>
      </w:r>
      <w:r w:rsidRPr="00801CCD">
        <w:rPr>
          <w:rFonts w:asciiTheme="majorHAnsi" w:hAnsiTheme="majorHAnsi" w:cs="Times New Roman"/>
          <w:color w:val="000000" w:themeColor="text1"/>
        </w:rPr>
        <w:t xml:space="preserve"> Teresa</w:t>
      </w:r>
      <w:r>
        <w:rPr>
          <w:rFonts w:asciiTheme="majorHAnsi" w:hAnsiTheme="majorHAnsi" w:cs="Times New Roman"/>
          <w:color w:val="000000" w:themeColor="text1"/>
        </w:rPr>
        <w:t xml:space="preserve">. 2012. </w:t>
      </w:r>
      <w:r w:rsidRPr="00801CCD">
        <w:rPr>
          <w:rFonts w:asciiTheme="majorHAnsi" w:hAnsiTheme="majorHAnsi" w:cs="Times New Roman"/>
          <w:color w:val="000000" w:themeColor="text1"/>
        </w:rPr>
        <w:t>“A conceção inferior do feminino como “entidade transparente</w:t>
      </w:r>
      <w:r>
        <w:rPr>
          <w:rFonts w:asciiTheme="majorHAnsi" w:hAnsiTheme="majorHAnsi" w:cs="Times New Roman"/>
          <w:color w:val="000000" w:themeColor="text1"/>
        </w:rPr>
        <w:t xml:space="preserve">” na Filosofia e na Teologia”. </w:t>
      </w:r>
      <w:r w:rsidRPr="00801CCD">
        <w:rPr>
          <w:rFonts w:asciiTheme="majorHAnsi" w:hAnsiTheme="majorHAnsi" w:cs="Times New Roman"/>
          <w:i/>
          <w:color w:val="000000" w:themeColor="text1"/>
        </w:rPr>
        <w:t>In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i/>
          <w:iCs/>
          <w:color w:val="000000" w:themeColor="text1"/>
        </w:rPr>
        <w:t>Mulheres que ousaram ficar. Contributos para a Teologia feminista</w:t>
      </w:r>
      <w:r>
        <w:rPr>
          <w:rFonts w:asciiTheme="majorHAnsi" w:hAnsiTheme="majorHAnsi" w:cs="Times New Roman"/>
          <w:i/>
          <w:iCs/>
          <w:color w:val="000000" w:themeColor="text1"/>
        </w:rPr>
        <w:t xml:space="preserve">, </w:t>
      </w:r>
      <w:r w:rsidRPr="00F637E3">
        <w:rPr>
          <w:rFonts w:asciiTheme="majorHAnsi" w:hAnsiTheme="majorHAnsi" w:cs="Times New Roman"/>
          <w:iCs/>
          <w:color w:val="000000" w:themeColor="text1"/>
        </w:rPr>
        <w:t>organizado por</w:t>
      </w:r>
      <w:r w:rsidRPr="00F637E3">
        <w:rPr>
          <w:rFonts w:asciiTheme="majorHAnsi" w:hAnsiTheme="majorHAnsi" w:cs="Times New Roman"/>
          <w:color w:val="000000" w:themeColor="text1"/>
        </w:rPr>
        <w:t xml:space="preserve"> F</w:t>
      </w:r>
      <w:r w:rsidRPr="00801CCD">
        <w:rPr>
          <w:rFonts w:asciiTheme="majorHAnsi" w:hAnsiTheme="majorHAnsi" w:cs="Times New Roman"/>
          <w:color w:val="000000" w:themeColor="text1"/>
        </w:rPr>
        <w:t xml:space="preserve">. Henriques, T. </w:t>
      </w:r>
      <w:proofErr w:type="spellStart"/>
      <w:r w:rsidRPr="00801CCD">
        <w:rPr>
          <w:rFonts w:asciiTheme="majorHAnsi" w:hAnsiTheme="majorHAnsi" w:cs="Times New Roman"/>
          <w:color w:val="000000" w:themeColor="text1"/>
        </w:rPr>
        <w:t>Toldy</w:t>
      </w:r>
      <w:proofErr w:type="spellEnd"/>
      <w:r w:rsidRPr="00801CCD">
        <w:rPr>
          <w:rFonts w:asciiTheme="majorHAnsi" w:hAnsiTheme="majorHAnsi" w:cs="Times New Roman"/>
          <w:color w:val="000000" w:themeColor="text1"/>
        </w:rPr>
        <w:t>, Maria Carlos Ramos</w:t>
      </w:r>
      <w:r>
        <w:rPr>
          <w:rFonts w:asciiTheme="majorHAnsi" w:hAnsiTheme="majorHAnsi" w:cs="Times New Roman"/>
          <w:color w:val="000000" w:themeColor="text1"/>
        </w:rPr>
        <w:t xml:space="preserve"> e </w:t>
      </w:r>
      <w:r w:rsidRPr="00801CCD">
        <w:rPr>
          <w:rFonts w:asciiTheme="majorHAnsi" w:hAnsiTheme="majorHAnsi" w:cs="Times New Roman"/>
          <w:color w:val="000000" w:themeColor="text1"/>
        </w:rPr>
        <w:t>Julieta Dias</w:t>
      </w:r>
      <w:r>
        <w:rPr>
          <w:rFonts w:asciiTheme="majorHAnsi" w:hAnsiTheme="majorHAnsi" w:cs="Times New Roman"/>
          <w:color w:val="000000" w:themeColor="text1"/>
        </w:rPr>
        <w:t>, pp. 212-164.</w:t>
      </w:r>
      <w:r w:rsidRPr="00801CCD">
        <w:rPr>
          <w:rFonts w:asciiTheme="majorHAnsi" w:hAnsiTheme="majorHAnsi" w:cs="Times New Roman"/>
          <w:i/>
          <w:iCs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color w:val="000000" w:themeColor="text1"/>
        </w:rPr>
        <w:t>Leça da</w:t>
      </w:r>
      <w:r>
        <w:rPr>
          <w:rFonts w:asciiTheme="majorHAnsi" w:hAnsiTheme="majorHAnsi" w:cs="Times New Roman"/>
          <w:color w:val="000000" w:themeColor="text1"/>
        </w:rPr>
        <w:t xml:space="preserve"> Palmeira: Letras e Coisas</w:t>
      </w:r>
      <w:r w:rsidRPr="00801CCD">
        <w:rPr>
          <w:rFonts w:asciiTheme="majorHAnsi" w:hAnsiTheme="majorHAnsi" w:cs="Times New Roman"/>
          <w:color w:val="000000" w:themeColor="text1"/>
        </w:rPr>
        <w:t xml:space="preserve">. </w:t>
      </w:r>
    </w:p>
    <w:p w14:paraId="26E6A0A2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proofErr w:type="spell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Perintfalvi</w:t>
      </w:r>
      <w:proofErr w:type="spellEnd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Rita, 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2016. 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“The True Face of the ‘Gender Ideology’ Discourse: Religious Fundamentalism, or Questioning th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e Principle of Democracy?</w:t>
      </w:r>
      <w:proofErr w:type="gramStart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”.</w:t>
      </w:r>
      <w:proofErr w:type="gramEnd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Journal of the European Society of Women in Theological Research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24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47-62.</w:t>
      </w:r>
    </w:p>
    <w:p w14:paraId="78AD2D81" w14:textId="77777777" w:rsidR="00F637E3" w:rsidRPr="00BD5BB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proofErr w:type="spell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Ruether</w:t>
      </w:r>
      <w:proofErr w:type="spellEnd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Rosemary Radford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 2008.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Catholics Does Not Equal the Vatican: A Vision for Progressive Catholicism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. </w:t>
      </w:r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New York: New Press.</w:t>
      </w:r>
    </w:p>
    <w:p w14:paraId="26B7B915" w14:textId="77777777" w:rsidR="00F637E3" w:rsidRPr="00BD5BB9" w:rsidRDefault="00F637E3" w:rsidP="00F637E3">
      <w:pPr>
        <w:pStyle w:val="Default"/>
        <w:spacing w:after="120" w:line="276" w:lineRule="auto"/>
        <w:ind w:left="709" w:hanging="709"/>
        <w:jc w:val="both"/>
        <w:rPr>
          <w:rFonts w:asciiTheme="majorHAnsi" w:hAnsiTheme="majorHAnsi" w:cs="Times New Roman"/>
          <w:color w:val="000000" w:themeColor="text1"/>
        </w:rPr>
      </w:pPr>
      <w:r w:rsidRPr="00801CCD">
        <w:rPr>
          <w:rFonts w:asciiTheme="majorHAnsi" w:hAnsiTheme="majorHAnsi" w:cs="Times New Roman"/>
          <w:color w:val="000000" w:themeColor="text1"/>
          <w:lang w:val="en-US"/>
        </w:rPr>
        <w:t>Scott</w:t>
      </w:r>
      <w:r>
        <w:rPr>
          <w:rFonts w:asciiTheme="majorHAnsi" w:hAnsiTheme="majorHAnsi" w:cs="Times New Roman"/>
          <w:color w:val="000000" w:themeColor="text1"/>
          <w:lang w:val="en-US"/>
        </w:rPr>
        <w:t>,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Joan Wallach</w:t>
      </w:r>
      <w:r>
        <w:rPr>
          <w:rFonts w:asciiTheme="majorHAnsi" w:hAnsiTheme="majorHAnsi" w:cs="Times New Roman"/>
          <w:color w:val="000000" w:themeColor="text1"/>
          <w:lang w:val="en-US"/>
        </w:rPr>
        <w:t>. 2010.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“Gender: Still a Useful Category of Analysis?</w:t>
      </w:r>
      <w:proofErr w:type="gramStart"/>
      <w:r w:rsidRPr="00801CCD">
        <w:rPr>
          <w:rFonts w:asciiTheme="majorHAnsi" w:hAnsiTheme="majorHAnsi" w:cs="Times New Roman"/>
          <w:color w:val="000000" w:themeColor="text1"/>
          <w:lang w:val="en-US"/>
        </w:rPr>
        <w:t>”,</w:t>
      </w:r>
      <w:proofErr w:type="gramEnd"/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</w:t>
      </w:r>
      <w:r w:rsidRPr="00801CCD">
        <w:rPr>
          <w:rFonts w:asciiTheme="majorHAnsi" w:hAnsiTheme="majorHAnsi" w:cs="Times New Roman"/>
          <w:i/>
          <w:color w:val="000000" w:themeColor="text1"/>
          <w:lang w:val="en-US"/>
        </w:rPr>
        <w:t>Diogenes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, </w:t>
      </w:r>
      <w:r>
        <w:rPr>
          <w:rFonts w:asciiTheme="majorHAnsi" w:hAnsiTheme="majorHAnsi" w:cs="Times New Roman"/>
          <w:color w:val="000000" w:themeColor="text1"/>
          <w:lang w:val="en-US"/>
        </w:rPr>
        <w:t>57(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>1</w:t>
      </w:r>
      <w:r>
        <w:rPr>
          <w:rFonts w:asciiTheme="majorHAnsi" w:hAnsiTheme="majorHAnsi" w:cs="Times New Roman"/>
          <w:color w:val="000000" w:themeColor="text1"/>
          <w:lang w:val="en-US"/>
        </w:rPr>
        <w:t>) .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</w:t>
      </w:r>
      <w:r w:rsidRPr="00BD5BB9">
        <w:rPr>
          <w:rFonts w:asciiTheme="majorHAnsi" w:hAnsiTheme="majorHAnsi" w:cs="Times New Roman"/>
          <w:color w:val="000000" w:themeColor="text1"/>
        </w:rPr>
        <w:t>DOI/10.1177/0392192110369316.</w:t>
      </w:r>
    </w:p>
    <w:p w14:paraId="714420FC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</w:pPr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Teresa </w:t>
      </w:r>
      <w:proofErr w:type="spellStart"/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Toldy</w:t>
      </w:r>
      <w:proofErr w:type="spellEnd"/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. </w:t>
      </w:r>
      <w:r w:rsidRPr="00F637E3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2010. "A </w:t>
      </w:r>
      <w:proofErr w:type="spellStart"/>
      <w:r w:rsidRPr="00F637E3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violência</w:t>
      </w:r>
      <w:proofErr w:type="spellEnd"/>
      <w:r w:rsidRPr="00F637E3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 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e o poder </w:t>
      </w:r>
      <w:proofErr w:type="gram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da(s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.</w:t>
      </w:r>
      <w:proofErr w:type="gramEnd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 palavra(s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religião</w:t>
      </w:r>
      <w:proofErr w:type="spellEnd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 cristã e as mulheres"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 </w:t>
      </w:r>
      <w:r w:rsidRPr="00801CCD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</w:rPr>
        <w:t>Revista Crítica de Ciências Sociais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 xml:space="preserve"> 89, 171-183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</w:rPr>
        <w:t>.</w:t>
      </w:r>
    </w:p>
    <w:p w14:paraId="5DB252E4" w14:textId="77777777" w:rsidR="00F637E3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Toldy</w:t>
      </w:r>
      <w:proofErr w:type="spellEnd"/>
      <w:r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Teresa;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Santos,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Ana Cristina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>2016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"Religião, género e cidadania sexual: Uma introdução"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Revista Crítica de Ciências Sociais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110, 43-50.</w:t>
      </w:r>
    </w:p>
    <w:p w14:paraId="3B7F560E" w14:textId="77777777" w:rsidR="00BB1207" w:rsidRDefault="00BB1207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7DB0A1D" w14:textId="77777777" w:rsidR="00BB1207" w:rsidRPr="00780B8F" w:rsidRDefault="00BB1207" w:rsidP="00BB1207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b/>
          <w:highlight w:val="white"/>
          <w:lang w:val="pt-PT"/>
        </w:rPr>
        <w:t>Prazo de envio:</w:t>
      </w:r>
    </w:p>
    <w:p w14:paraId="791FB4AD" w14:textId="501F6A5B" w:rsidR="00BB1207" w:rsidRPr="00780B8F" w:rsidRDefault="00BB1207" w:rsidP="00BB1207">
      <w:pPr>
        <w:pStyle w:val="Normal1"/>
        <w:spacing w:after="60" w:line="240" w:lineRule="auto"/>
        <w:jc w:val="both"/>
        <w:rPr>
          <w:rFonts w:ascii="Cambria" w:hAnsi="Cambria"/>
          <w:lang w:val="pt-PT"/>
        </w:rPr>
      </w:pPr>
      <w:r w:rsidRPr="00780B8F">
        <w:rPr>
          <w:rFonts w:ascii="Cambria" w:hAnsi="Cambria"/>
          <w:highlight w:val="white"/>
          <w:lang w:val="pt-PT"/>
        </w:rPr>
        <w:t xml:space="preserve">Envio de artigos, com escrupuloso cumprimento das normas da revista apresentadas em Http://www.apem-estudos.org/pt/page/submissao-de-artigos, até </w:t>
      </w:r>
      <w:r w:rsidRPr="00780B8F">
        <w:rPr>
          <w:rFonts w:ascii="Cambria" w:hAnsi="Cambria"/>
          <w:b/>
          <w:highlight w:val="white"/>
          <w:lang w:val="pt-PT"/>
        </w:rPr>
        <w:t>3</w:t>
      </w:r>
      <w:r>
        <w:rPr>
          <w:rFonts w:ascii="Cambria" w:hAnsi="Cambria"/>
          <w:b/>
          <w:highlight w:val="white"/>
          <w:lang w:val="pt-PT"/>
        </w:rPr>
        <w:t>0</w:t>
      </w:r>
      <w:r w:rsidRPr="00780B8F">
        <w:rPr>
          <w:rFonts w:ascii="Cambria" w:hAnsi="Cambria"/>
          <w:b/>
          <w:highlight w:val="white"/>
          <w:lang w:val="pt-PT"/>
        </w:rPr>
        <w:t xml:space="preserve"> de </w:t>
      </w:r>
      <w:r>
        <w:rPr>
          <w:rFonts w:ascii="Cambria" w:hAnsi="Cambria"/>
          <w:b/>
          <w:lang w:val="pt-PT"/>
        </w:rPr>
        <w:t>novembro</w:t>
      </w:r>
      <w:r w:rsidRPr="00780B8F">
        <w:rPr>
          <w:rFonts w:ascii="Cambria" w:hAnsi="Cambria"/>
          <w:lang w:val="pt-PT"/>
        </w:rPr>
        <w:t xml:space="preserve">, para </w:t>
      </w:r>
      <w:r w:rsidRPr="00780B8F">
        <w:rPr>
          <w:rFonts w:ascii="Cambria" w:hAnsi="Cambria"/>
          <w:highlight w:val="white"/>
          <w:lang w:val="pt-PT"/>
        </w:rPr>
        <w:t xml:space="preserve">o endereço </w:t>
      </w:r>
      <w:hyperlink r:id="rId5">
        <w:r w:rsidRPr="00780B8F">
          <w:rPr>
            <w:rFonts w:ascii="Cambria" w:hAnsi="Cambria"/>
            <w:color w:val="1155CC"/>
            <w:highlight w:val="white"/>
            <w:u w:val="single"/>
            <w:lang w:val="pt-PT"/>
          </w:rPr>
          <w:t>apem1991@gmail.com</w:t>
        </w:r>
      </w:hyperlink>
      <w:r w:rsidRPr="00780B8F">
        <w:rPr>
          <w:rFonts w:ascii="Cambria" w:hAnsi="Cambria"/>
          <w:highlight w:val="white"/>
          <w:lang w:val="pt-PT"/>
        </w:rPr>
        <w:t>.</w:t>
      </w:r>
      <w:r w:rsidRPr="00780B8F">
        <w:rPr>
          <w:rFonts w:ascii="Cambria" w:hAnsi="Cambria"/>
          <w:lang w:val="pt-PT"/>
        </w:rPr>
        <w:t xml:space="preserve"> Os textos que não respeitarem as normas quanto à extensão, à formatação e ao modo de citar e referenciar as fontes bibliográficas </w:t>
      </w:r>
      <w:r w:rsidRPr="00780B8F">
        <w:rPr>
          <w:rFonts w:ascii="Cambria" w:hAnsi="Cambria"/>
          <w:b/>
          <w:lang w:val="pt-PT"/>
        </w:rPr>
        <w:t>serão excluídos numa primeira triagem</w:t>
      </w:r>
      <w:r w:rsidRPr="00780B8F">
        <w:rPr>
          <w:rFonts w:ascii="Cambria" w:hAnsi="Cambria"/>
          <w:lang w:val="pt-PT"/>
        </w:rPr>
        <w:t xml:space="preserve"> antes de serem submetidos a arbitragem cientifica. No prazo de quatro semanas após a data limite de receção, as/os autoras/</w:t>
      </w:r>
      <w:proofErr w:type="spellStart"/>
      <w:r w:rsidRPr="00780B8F">
        <w:rPr>
          <w:rFonts w:ascii="Cambria" w:hAnsi="Cambria"/>
          <w:lang w:val="pt-PT"/>
        </w:rPr>
        <w:t>es</w:t>
      </w:r>
      <w:proofErr w:type="spellEnd"/>
      <w:r w:rsidRPr="00780B8F">
        <w:rPr>
          <w:rFonts w:ascii="Cambria" w:hAnsi="Cambria"/>
          <w:lang w:val="pt-PT"/>
        </w:rPr>
        <w:t xml:space="preserve"> receberão a informação sobre os resultados da primeira triagem e a passagem à etapa seguinte, isto é, da submissão, sob anonimato, à dupla arbitragem científica do texto. A data prevista de saída deste número é maio de 201</w:t>
      </w:r>
      <w:r>
        <w:rPr>
          <w:rFonts w:ascii="Cambria" w:hAnsi="Cambria"/>
          <w:lang w:val="pt-PT"/>
        </w:rPr>
        <w:t>8</w:t>
      </w:r>
      <w:r w:rsidRPr="00780B8F">
        <w:rPr>
          <w:rFonts w:ascii="Cambria" w:hAnsi="Cambria"/>
          <w:lang w:val="pt-PT"/>
        </w:rPr>
        <w:t xml:space="preserve">. </w:t>
      </w:r>
    </w:p>
    <w:p w14:paraId="50634F40" w14:textId="77777777" w:rsidR="00BB1207" w:rsidRPr="00780B8F" w:rsidRDefault="00BB1207" w:rsidP="00BB1207">
      <w:pPr>
        <w:spacing w:after="60"/>
        <w:ind w:right="-772"/>
        <w:rPr>
          <w:rStyle w:val="Hiperligao"/>
          <w:rFonts w:ascii="Cambria" w:hAnsi="Cambria"/>
        </w:rPr>
      </w:pPr>
    </w:p>
    <w:p w14:paraId="0CE43494" w14:textId="77777777" w:rsidR="00BB1207" w:rsidRPr="00780B8F" w:rsidRDefault="00BB1207" w:rsidP="00BB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284"/>
        <w:spacing w:after="60"/>
        <w:ind w:right="49"/>
        <w:jc w:val="center"/>
        <w:rPr>
          <w:rFonts w:ascii="Cambria" w:hAnsi="Cambria"/>
          <w:b/>
          <w:color w:val="660066"/>
        </w:rPr>
      </w:pPr>
      <w:r w:rsidRPr="00780B8F">
        <w:rPr>
          <w:rStyle w:val="Hiperligao"/>
          <w:rFonts w:ascii="Cambria" w:hAnsi="Cambria"/>
          <w:b/>
          <w:color w:val="660066"/>
        </w:rPr>
        <w:t>A</w:t>
      </w:r>
      <w:r w:rsidRPr="00780B8F">
        <w:rPr>
          <w:rFonts w:ascii="Cambria" w:hAnsi="Cambria"/>
          <w:b/>
          <w:color w:val="660066"/>
        </w:rPr>
        <w:t xml:space="preserve">lém das </w:t>
      </w:r>
      <w:r>
        <w:rPr>
          <w:rFonts w:ascii="Cambria" w:hAnsi="Cambria"/>
          <w:b/>
          <w:color w:val="660066"/>
        </w:rPr>
        <w:t>submissões</w:t>
      </w:r>
      <w:r w:rsidRPr="00780B8F">
        <w:rPr>
          <w:rFonts w:ascii="Cambria" w:hAnsi="Cambria"/>
          <w:b/>
          <w:color w:val="660066"/>
        </w:rPr>
        <w:t xml:space="preserve"> para os </w:t>
      </w:r>
      <w:proofErr w:type="gramStart"/>
      <w:r w:rsidRPr="00780B8F">
        <w:rPr>
          <w:rFonts w:ascii="Cambria" w:hAnsi="Cambria"/>
          <w:b/>
          <w:color w:val="660066"/>
        </w:rPr>
        <w:t>dossiers</w:t>
      </w:r>
      <w:proofErr w:type="gramEnd"/>
      <w:r w:rsidRPr="00780B8F">
        <w:rPr>
          <w:rFonts w:ascii="Cambria" w:hAnsi="Cambria"/>
          <w:b/>
          <w:color w:val="660066"/>
        </w:rPr>
        <w:t xml:space="preserve"> temáticos, a </w:t>
      </w:r>
      <w:proofErr w:type="spellStart"/>
      <w:r w:rsidRPr="00780B8F">
        <w:rPr>
          <w:rFonts w:ascii="Cambria" w:hAnsi="Cambria"/>
          <w:b/>
          <w:i/>
          <w:color w:val="660066"/>
        </w:rPr>
        <w:t>ex</w:t>
      </w:r>
      <w:proofErr w:type="spellEnd"/>
      <w:r w:rsidRPr="00780B8F">
        <w:rPr>
          <w:rFonts w:ascii="Cambria" w:hAnsi="Cambria"/>
          <w:b/>
          <w:i/>
          <w:color w:val="660066"/>
        </w:rPr>
        <w:t xml:space="preserve"> </w:t>
      </w:r>
      <w:proofErr w:type="spellStart"/>
      <w:r w:rsidRPr="00780B8F">
        <w:rPr>
          <w:rFonts w:ascii="Cambria" w:hAnsi="Cambria"/>
          <w:b/>
          <w:i/>
          <w:color w:val="660066"/>
        </w:rPr>
        <w:t>æquo</w:t>
      </w:r>
      <w:proofErr w:type="spellEnd"/>
      <w:r w:rsidRPr="00780B8F">
        <w:rPr>
          <w:rFonts w:ascii="Cambria" w:hAnsi="Cambria"/>
          <w:b/>
          <w:color w:val="660066"/>
        </w:rPr>
        <w:t xml:space="preserve"> aceita permanentemente contribu</w:t>
      </w:r>
      <w:r>
        <w:rPr>
          <w:rFonts w:ascii="Cambria" w:hAnsi="Cambria"/>
          <w:b/>
          <w:color w:val="660066"/>
        </w:rPr>
        <w:t xml:space="preserve">tos </w:t>
      </w:r>
      <w:r w:rsidRPr="00780B8F">
        <w:rPr>
          <w:rFonts w:ascii="Cambria" w:hAnsi="Cambria"/>
          <w:b/>
          <w:color w:val="660066"/>
        </w:rPr>
        <w:t xml:space="preserve">para as secções de </w:t>
      </w:r>
      <w:r>
        <w:rPr>
          <w:rFonts w:ascii="Cambria" w:hAnsi="Cambria"/>
          <w:b/>
          <w:color w:val="660066"/>
        </w:rPr>
        <w:t>Estudos e Ensaios e Recensões.</w:t>
      </w:r>
    </w:p>
    <w:p w14:paraId="29C1BB94" w14:textId="77777777" w:rsidR="00BB1207" w:rsidRDefault="00BB1207" w:rsidP="00BB1207">
      <w:pPr>
        <w:spacing w:after="60"/>
        <w:ind w:right="-772"/>
        <w:jc w:val="both"/>
        <w:rPr>
          <w:rFonts w:ascii="Cambria" w:hAnsi="Cambria"/>
        </w:rPr>
      </w:pPr>
    </w:p>
    <w:p w14:paraId="30A2608F" w14:textId="4FED6613" w:rsidR="000902C0" w:rsidRPr="00BD5BB9" w:rsidRDefault="000902C0" w:rsidP="000902C0">
      <w:pPr>
        <w:spacing w:after="60" w:line="240" w:lineRule="auto"/>
        <w:ind w:right="51"/>
        <w:rPr>
          <w:rFonts w:ascii="Cambria" w:hAnsi="Cambria"/>
          <w:sz w:val="20"/>
          <w:szCs w:val="20"/>
        </w:rPr>
      </w:pPr>
    </w:p>
    <w:p w14:paraId="39C90D1F" w14:textId="3894C677" w:rsidR="000902C0" w:rsidRPr="00BD5BB9" w:rsidRDefault="000902C0" w:rsidP="000902C0">
      <w:pPr>
        <w:spacing w:after="60" w:line="240" w:lineRule="auto"/>
        <w:ind w:right="51"/>
        <w:jc w:val="both"/>
      </w:pPr>
    </w:p>
    <w:p w14:paraId="32F7EE05" w14:textId="77777777" w:rsidR="00BD5BB9" w:rsidRDefault="00BD5BB9" w:rsidP="00BD5BB9">
      <w:pPr>
        <w:rPr>
          <w:rFonts w:ascii="Cambria" w:hAnsi="Cambria"/>
          <w:b/>
          <w:i/>
          <w:sz w:val="20"/>
        </w:rPr>
      </w:pPr>
    </w:p>
    <w:p w14:paraId="6C730A2F" w14:textId="77777777" w:rsidR="00BD5BB9" w:rsidRDefault="00BD5BB9" w:rsidP="00BD5BB9">
      <w:pPr>
        <w:rPr>
          <w:rFonts w:ascii="Cambria" w:hAnsi="Cambria"/>
          <w:b/>
          <w:i/>
          <w:sz w:val="20"/>
        </w:rPr>
      </w:pPr>
    </w:p>
    <w:p w14:paraId="145A9B26" w14:textId="77777777" w:rsidR="00BD5BB9" w:rsidRDefault="00BD5BB9" w:rsidP="00BD5BB9">
      <w:pPr>
        <w:rPr>
          <w:rFonts w:ascii="Cambria" w:hAnsi="Cambria"/>
          <w:b/>
          <w:i/>
          <w:sz w:val="20"/>
        </w:rPr>
      </w:pPr>
    </w:p>
    <w:p w14:paraId="72FEADD5" w14:textId="77777777" w:rsidR="00BD5BB9" w:rsidRDefault="00BD5BB9" w:rsidP="00BD5BB9">
      <w:pPr>
        <w:rPr>
          <w:rFonts w:ascii="Cambria" w:hAnsi="Cambria"/>
          <w:b/>
          <w:i/>
          <w:sz w:val="20"/>
        </w:rPr>
      </w:pPr>
    </w:p>
    <w:p w14:paraId="31C82448" w14:textId="77777777" w:rsidR="00BD5BB9" w:rsidRPr="00737F7F" w:rsidRDefault="00BD5BB9" w:rsidP="00BD5BB9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737F7F">
        <w:rPr>
          <w:rFonts w:asciiTheme="majorHAnsi" w:hAnsiTheme="majorHAnsi"/>
          <w:b/>
          <w:i/>
          <w:sz w:val="24"/>
          <w:szCs w:val="24"/>
        </w:rPr>
        <w:t>ex</w:t>
      </w:r>
      <w:proofErr w:type="spellEnd"/>
      <w:proofErr w:type="gramEnd"/>
      <w:r w:rsidRPr="00737F7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737F7F">
        <w:rPr>
          <w:rFonts w:asciiTheme="majorHAnsi" w:hAnsiTheme="majorHAnsi"/>
          <w:b/>
          <w:i/>
          <w:sz w:val="24"/>
          <w:szCs w:val="24"/>
        </w:rPr>
        <w:t>æquo</w:t>
      </w:r>
      <w:proofErr w:type="spellEnd"/>
      <w:r w:rsidRPr="00737F7F">
        <w:rPr>
          <w:rFonts w:asciiTheme="majorHAnsi" w:hAnsiTheme="majorHAnsi"/>
          <w:i/>
          <w:sz w:val="24"/>
          <w:szCs w:val="24"/>
        </w:rPr>
        <w:t xml:space="preserve"> </w:t>
      </w:r>
    </w:p>
    <w:p w14:paraId="6624A004" w14:textId="77777777" w:rsidR="00BD5BB9" w:rsidRPr="00A00A90" w:rsidRDefault="00BD5BB9" w:rsidP="00BD5BB9">
      <w:pPr>
        <w:rPr>
          <w:rFonts w:asciiTheme="majorHAnsi" w:hAnsiTheme="majorHAnsi" w:cs="Times New Roman"/>
          <w:color w:val="595959" w:themeColor="text1" w:themeTint="A6"/>
          <w:sz w:val="20"/>
          <w:szCs w:val="20"/>
        </w:rPr>
      </w:pPr>
      <w:r>
        <w:rPr>
          <w:rFonts w:ascii="Cambria" w:hAnsi="Cambria"/>
          <w:i/>
          <w:noProof/>
          <w:color w:val="595959" w:themeColor="text1" w:themeTint="A6"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BCEA14" wp14:editId="006CCAB3">
            <wp:simplePos x="0" y="0"/>
            <wp:positionH relativeFrom="margin">
              <wp:align>right</wp:align>
            </wp:positionH>
            <wp:positionV relativeFrom="margin">
              <wp:posOffset>371475</wp:posOffset>
            </wp:positionV>
            <wp:extent cx="2798445" cy="276225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00A90">
        <w:rPr>
          <w:rFonts w:asciiTheme="majorHAnsi" w:hAnsiTheme="majorHAnsi" w:cs="Times New Roman"/>
          <w:color w:val="595959" w:themeColor="text1" w:themeTint="A6"/>
          <w:spacing w:val="-15"/>
          <w:sz w:val="20"/>
          <w:szCs w:val="20"/>
        </w:rPr>
        <w:t>é</w:t>
      </w:r>
      <w:proofErr w:type="gramEnd"/>
      <w:r w:rsidRPr="00A00A90">
        <w:rPr>
          <w:rFonts w:asciiTheme="majorHAnsi" w:hAnsiTheme="majorHAnsi" w:cs="Times New Roman"/>
          <w:color w:val="595959" w:themeColor="text1" w:themeTint="A6"/>
          <w:spacing w:val="-15"/>
          <w:sz w:val="20"/>
          <w:szCs w:val="20"/>
        </w:rPr>
        <w:t xml:space="preserve"> uma revista internacional de periodicidade semestral, editada pela Associação Portuguesa de Estudos sobre as Mulheres – APEM, em parceria com as Edições Afrontamento. </w:t>
      </w:r>
      <w:r w:rsidRPr="00A00A90">
        <w:rPr>
          <w:rFonts w:asciiTheme="majorHAnsi" w:hAnsiTheme="majorHAnsi" w:cs="Times New Roman"/>
          <w:color w:val="595959" w:themeColor="text1" w:themeTint="A6"/>
          <w:sz w:val="20"/>
          <w:szCs w:val="20"/>
        </w:rPr>
        <w:t>(http://www.apem-estudos.org/pt/page/apresentacao-da-revista)</w:t>
      </w:r>
    </w:p>
    <w:p w14:paraId="1EF5FB0A" w14:textId="2F5FCAF4" w:rsidR="000902C0" w:rsidRPr="00BD5BB9" w:rsidRDefault="00BD5BB9" w:rsidP="00BD5BB9">
      <w:pPr>
        <w:spacing w:after="60" w:line="240" w:lineRule="auto"/>
        <w:ind w:right="51"/>
        <w:rPr>
          <w:rFonts w:ascii="Cambria" w:hAnsi="Cambria"/>
          <w:sz w:val="20"/>
        </w:rPr>
      </w:pP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A </w:t>
      </w:r>
      <w:proofErr w:type="spellStart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</w:rPr>
        <w:t>ex</w:t>
      </w:r>
      <w:proofErr w:type="spellEnd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</w:rPr>
        <w:t xml:space="preserve"> </w:t>
      </w:r>
      <w:proofErr w:type="spellStart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</w:rPr>
        <w:t>æquo</w:t>
      </w:r>
      <w:proofErr w:type="spellEnd"/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 dirige-se a um público internacional, aceitando manuscritos submetidos em Português, Inglês, Francês e Espanhol, de vários países. Tem como objetivo assegurar a publicação de originais que contribuam de forma significativa para o avanço do conhecimento na área dos Estudos sobre as Mulheres, Feministas e de Género. Os artigos enviados à </w:t>
      </w:r>
      <w:proofErr w:type="spellStart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</w:rPr>
        <w:t>ex</w:t>
      </w:r>
      <w:proofErr w:type="spellEnd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</w:rPr>
        <w:t xml:space="preserve"> aequo</w:t>
      </w: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 para publicação são submetidos, sob anonimato, a um processo d</w:t>
      </w:r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e dupla arbitragem independente</w:t>
      </w: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 </w:t>
      </w:r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(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double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blind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peer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>review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) por </w:t>
      </w: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</w:rPr>
        <w:t xml:space="preserve">especialistas a nível nacional e internacional na respetiva área em que o texto se enquadra ou referencia. Está indexada </w:t>
      </w:r>
      <w:r w:rsidRPr="00737F7F">
        <w:rPr>
          <w:rFonts w:asciiTheme="majorHAnsi" w:hAnsiTheme="majorHAnsi"/>
          <w:color w:val="595959" w:themeColor="text1" w:themeTint="A6"/>
          <w:sz w:val="20"/>
          <w:szCs w:val="20"/>
        </w:rPr>
        <w:t xml:space="preserve">na base de dados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</w:rPr>
        <w:t>Scientific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</w:rPr>
        <w:t>Electronic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</w:rPr>
        <w:t>Library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</w:rPr>
        <w:t xml:space="preserve"> Online </w:t>
      </w:r>
      <w:r w:rsidR="000902C0" w:rsidRPr="00BD5BB9">
        <w:rPr>
          <w:rFonts w:ascii="Cambria" w:hAnsi="Cambria" w:cstheme="minorHAnsi"/>
          <w:sz w:val="20"/>
          <w:szCs w:val="24"/>
        </w:rPr>
        <w:t>(</w:t>
      </w:r>
      <w:hyperlink r:id="rId7" w:tgtFrame="_blank" w:history="1">
        <w:r w:rsidR="000902C0" w:rsidRPr="00BD5BB9">
          <w:rPr>
            <w:rStyle w:val="Hiperligao"/>
            <w:rFonts w:ascii="Cambria" w:hAnsi="Cambria" w:cstheme="minorHAnsi"/>
            <w:sz w:val="20"/>
          </w:rPr>
          <w:t>http://alfa.fct.mctes.pt/apoios/facc/estatisticas/periodicos_2002_2006#sociais</w:t>
        </w:r>
      </w:hyperlink>
      <w:r w:rsidR="000902C0" w:rsidRPr="00BD5BB9">
        <w:rPr>
          <w:rFonts w:ascii="Cambria" w:hAnsi="Cambria" w:cstheme="minorHAnsi"/>
          <w:sz w:val="20"/>
          <w:szCs w:val="24"/>
        </w:rPr>
        <w:t>).</w:t>
      </w:r>
    </w:p>
    <w:p w14:paraId="08F9AED0" w14:textId="77777777" w:rsidR="00BD5BB9" w:rsidRDefault="00BD5BB9" w:rsidP="000902C0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  <w:sz w:val="20"/>
        </w:rPr>
      </w:pPr>
    </w:p>
    <w:p w14:paraId="5DAC816D" w14:textId="5E2341C8" w:rsidR="000902C0" w:rsidRPr="00862E5F" w:rsidRDefault="00BD5BB9" w:rsidP="000902C0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</w:rPr>
      </w:pPr>
      <w:r w:rsidRPr="00862E5F">
        <w:rPr>
          <w:rFonts w:ascii="Cambria" w:hAnsi="Cambria" w:cs="Palatino-Roman"/>
          <w:b/>
          <w:sz w:val="20"/>
        </w:rPr>
        <w:t xml:space="preserve">Indexada </w:t>
      </w:r>
      <w:proofErr w:type="gramStart"/>
      <w:r w:rsidRPr="00862E5F">
        <w:rPr>
          <w:rFonts w:ascii="Cambria" w:hAnsi="Cambria" w:cs="Palatino-Roman"/>
          <w:b/>
          <w:sz w:val="20"/>
        </w:rPr>
        <w:t>em</w:t>
      </w:r>
      <w:proofErr w:type="gramEnd"/>
      <w:r w:rsidR="000902C0" w:rsidRPr="00862E5F">
        <w:rPr>
          <w:rFonts w:ascii="Cambria" w:hAnsi="Cambria" w:cs="Palatino-Roman"/>
          <w:sz w:val="20"/>
        </w:rPr>
        <w:t xml:space="preserve">: </w:t>
      </w:r>
    </w:p>
    <w:p w14:paraId="3DEE27C9" w14:textId="64F813D0" w:rsidR="000902C0" w:rsidRPr="00862E5F" w:rsidRDefault="000902C0" w:rsidP="000902C0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  <w:sz w:val="20"/>
        </w:rPr>
      </w:pPr>
      <w:proofErr w:type="spellStart"/>
      <w:r w:rsidRPr="00862E5F">
        <w:rPr>
          <w:rFonts w:ascii="Cambria" w:hAnsi="Cambria" w:cs="Palatino-Roman"/>
          <w:b/>
          <w:sz w:val="20"/>
        </w:rPr>
        <w:t>SciELO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</w:t>
      </w:r>
      <w:proofErr w:type="spellStart"/>
      <w:r w:rsidRPr="00862E5F">
        <w:rPr>
          <w:rFonts w:ascii="Cambria" w:hAnsi="Cambria" w:cs="Palatino-Roman"/>
          <w:b/>
          <w:sz w:val="20"/>
        </w:rPr>
        <w:t>Citation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</w:t>
      </w:r>
      <w:proofErr w:type="spellStart"/>
      <w:r w:rsidRPr="00862E5F">
        <w:rPr>
          <w:rFonts w:ascii="Cambria" w:hAnsi="Cambria" w:cs="Palatino-Roman"/>
          <w:b/>
          <w:sz w:val="20"/>
        </w:rPr>
        <w:t>Index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da </w:t>
      </w:r>
      <w:proofErr w:type="spellStart"/>
      <w:r w:rsidRPr="00862E5F">
        <w:rPr>
          <w:rFonts w:ascii="Cambria" w:hAnsi="Cambria" w:cs="Palatino-Roman"/>
          <w:b/>
          <w:sz w:val="20"/>
        </w:rPr>
        <w:t>Thomson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Reuters: </w:t>
      </w:r>
      <w:proofErr w:type="spellStart"/>
      <w:r w:rsidRPr="00862E5F">
        <w:rPr>
          <w:rFonts w:ascii="Cambria" w:hAnsi="Cambria"/>
          <w:i/>
          <w:iCs/>
          <w:color w:val="333333"/>
          <w:sz w:val="20"/>
          <w:shd w:val="clear" w:color="auto" w:fill="FFFFFF" w:themeFill="background1"/>
        </w:rPr>
        <w:t>SciELO</w:t>
      </w:r>
      <w:proofErr w:type="spellEnd"/>
      <w:r w:rsidRPr="00862E5F">
        <w:rPr>
          <w:rFonts w:ascii="Cambria" w:hAnsi="Cambria"/>
          <w:i/>
          <w:iCs/>
          <w:color w:val="333333"/>
          <w:sz w:val="20"/>
          <w:shd w:val="clear" w:color="auto" w:fill="FFFFFF" w:themeFill="background1"/>
        </w:rPr>
        <w:t xml:space="preserve"> </w:t>
      </w:r>
      <w:proofErr w:type="spellStart"/>
      <w:r w:rsidRPr="00862E5F">
        <w:rPr>
          <w:rFonts w:ascii="Cambria" w:hAnsi="Cambria"/>
          <w:i/>
          <w:iCs/>
          <w:color w:val="333333"/>
          <w:sz w:val="20"/>
          <w:shd w:val="clear" w:color="auto" w:fill="FFFFFF" w:themeFill="background1"/>
        </w:rPr>
        <w:t>Citation</w:t>
      </w:r>
      <w:proofErr w:type="spellEnd"/>
      <w:r w:rsidRPr="00862E5F">
        <w:rPr>
          <w:rFonts w:ascii="Cambria" w:hAnsi="Cambria"/>
          <w:i/>
          <w:iCs/>
          <w:color w:val="333333"/>
          <w:sz w:val="20"/>
          <w:shd w:val="clear" w:color="auto" w:fill="FFFFFF" w:themeFill="background1"/>
        </w:rPr>
        <w:t xml:space="preserve"> </w:t>
      </w:r>
      <w:proofErr w:type="spellStart"/>
      <w:r w:rsidRPr="00862E5F">
        <w:rPr>
          <w:rFonts w:ascii="Cambria" w:hAnsi="Cambria"/>
          <w:i/>
          <w:iCs/>
          <w:color w:val="333333"/>
          <w:sz w:val="20"/>
          <w:shd w:val="clear" w:color="auto" w:fill="FFFFFF" w:themeFill="background1"/>
        </w:rPr>
        <w:t>Index</w:t>
      </w:r>
      <w:proofErr w:type="spellEnd"/>
      <w:r w:rsidRPr="00862E5F">
        <w:rPr>
          <w:rFonts w:ascii="Cambria" w:hAnsi="Cambria"/>
          <w:i/>
          <w:iCs/>
          <w:color w:val="333333"/>
          <w:sz w:val="20"/>
          <w:shd w:val="clear" w:color="auto" w:fill="FFFFFF" w:themeFill="background1"/>
        </w:rPr>
        <w:t xml:space="preserve"> - </w:t>
      </w:r>
      <w:hyperlink r:id="rId8" w:history="1">
        <w:r w:rsidRPr="00862E5F">
          <w:rPr>
            <w:rStyle w:val="Hiperligao"/>
            <w:rFonts w:ascii="Cambria" w:hAnsi="Cambria"/>
            <w:i/>
            <w:iCs/>
            <w:sz w:val="20"/>
            <w:shd w:val="clear" w:color="auto" w:fill="FFFFFF" w:themeFill="background1"/>
          </w:rPr>
          <w:t>http://apps.webofknowledge.com/SCIELO</w:t>
        </w:r>
      </w:hyperlink>
      <w:proofErr w:type="gramStart"/>
      <w:r w:rsidRPr="00862E5F">
        <w:rPr>
          <w:rFonts w:ascii="Cambria" w:hAnsi="Cambria"/>
          <w:i/>
          <w:iCs/>
          <w:color w:val="333333"/>
          <w:sz w:val="20"/>
          <w:shd w:val="clear" w:color="auto" w:fill="FFFFFF" w:themeFill="background1"/>
        </w:rPr>
        <w:t xml:space="preserve"> </w:t>
      </w:r>
      <w:proofErr w:type="gramEnd"/>
      <w:r w:rsidRPr="00862E5F">
        <w:rPr>
          <w:rFonts w:ascii="Cambria" w:hAnsi="Cambria" w:cs="Palatino-Roman"/>
          <w:b/>
          <w:sz w:val="20"/>
        </w:rPr>
        <w:t xml:space="preserve">; </w:t>
      </w:r>
    </w:p>
    <w:p w14:paraId="74792727" w14:textId="321C51A6" w:rsidR="000902C0" w:rsidRPr="00862E5F" w:rsidRDefault="000902C0" w:rsidP="000902C0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  <w:sz w:val="20"/>
        </w:rPr>
      </w:pPr>
      <w:proofErr w:type="spellStart"/>
      <w:r w:rsidRPr="00862E5F">
        <w:rPr>
          <w:rFonts w:ascii="Cambria" w:hAnsi="Cambria" w:cs="Palatino-Roman"/>
          <w:b/>
          <w:sz w:val="20"/>
        </w:rPr>
        <w:t>SciELO</w:t>
      </w:r>
      <w:proofErr w:type="spellEnd"/>
      <w:r w:rsidRPr="00862E5F">
        <w:rPr>
          <w:rFonts w:ascii="Cambria" w:hAnsi="Cambria" w:cs="Palatino-Italic"/>
          <w:b/>
          <w:i/>
          <w:iCs/>
          <w:sz w:val="20"/>
        </w:rPr>
        <w:t>/</w:t>
      </w:r>
      <w:r w:rsidRPr="00862E5F">
        <w:rPr>
          <w:rFonts w:ascii="Cambria" w:hAnsi="Cambria" w:cs="Palatino-Roman"/>
          <w:b/>
          <w:sz w:val="20"/>
        </w:rPr>
        <w:t xml:space="preserve">Portugal – </w:t>
      </w:r>
      <w:proofErr w:type="spellStart"/>
      <w:r w:rsidRPr="00862E5F">
        <w:rPr>
          <w:rFonts w:ascii="Cambria" w:hAnsi="Cambria" w:cs="Palatino-Roman"/>
          <w:b/>
          <w:sz w:val="20"/>
        </w:rPr>
        <w:t>Scientific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</w:t>
      </w:r>
      <w:proofErr w:type="spellStart"/>
      <w:r w:rsidRPr="00862E5F">
        <w:rPr>
          <w:rFonts w:ascii="Cambria" w:hAnsi="Cambria" w:cs="Palatino-Roman"/>
          <w:b/>
          <w:sz w:val="20"/>
        </w:rPr>
        <w:t>Eletronic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</w:t>
      </w:r>
      <w:proofErr w:type="spellStart"/>
      <w:r w:rsidRPr="00862E5F">
        <w:rPr>
          <w:rFonts w:ascii="Cambria" w:hAnsi="Cambria" w:cs="Palatino-Roman"/>
          <w:b/>
          <w:sz w:val="20"/>
        </w:rPr>
        <w:t>Library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Online, </w:t>
      </w:r>
      <w:proofErr w:type="spellStart"/>
      <w:r w:rsidRPr="00862E5F">
        <w:rPr>
          <w:rFonts w:ascii="Cambria" w:hAnsi="Cambria" w:cs="Palatino-Roman"/>
          <w:b/>
          <w:sz w:val="20"/>
        </w:rPr>
        <w:t>since</w:t>
      </w:r>
      <w:proofErr w:type="spellEnd"/>
      <w:r w:rsidRPr="00862E5F">
        <w:rPr>
          <w:rFonts w:ascii="Cambria" w:hAnsi="Cambria" w:cs="Palatino-Roman"/>
          <w:b/>
          <w:sz w:val="20"/>
        </w:rPr>
        <w:t xml:space="preserve"> 2008: </w:t>
      </w:r>
      <w:hyperlink r:id="rId9" w:history="1">
        <w:r w:rsidRPr="00862E5F">
          <w:rPr>
            <w:rStyle w:val="Hiperligao"/>
            <w:rFonts w:ascii="Cambria" w:hAnsi="Cambria" w:cs="Palatino-Roman"/>
            <w:sz w:val="20"/>
          </w:rPr>
          <w:t>http://www.scielo.mec.pt/scielo.php?script=sci_serial&amp;pid=0874-5560&amp;lng=pt</w:t>
        </w:r>
      </w:hyperlink>
      <w:proofErr w:type="gramStart"/>
      <w:r w:rsidRPr="00862E5F">
        <w:rPr>
          <w:rFonts w:ascii="Cambria" w:hAnsi="Cambria" w:cs="Palatino-Roman"/>
          <w:sz w:val="20"/>
        </w:rPr>
        <w:t xml:space="preserve"> </w:t>
      </w:r>
      <w:proofErr w:type="gramEnd"/>
      <w:r w:rsidRPr="00862E5F">
        <w:rPr>
          <w:rFonts w:ascii="Cambria" w:hAnsi="Cambria" w:cs="Palatino-Roman"/>
          <w:b/>
          <w:sz w:val="20"/>
        </w:rPr>
        <w:t xml:space="preserve">; </w:t>
      </w:r>
    </w:p>
    <w:p w14:paraId="66DFFAE7" w14:textId="6077C9F1" w:rsidR="000902C0" w:rsidRPr="00E135D2" w:rsidRDefault="000902C0" w:rsidP="000902C0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  <w:lang w:val="es-ES"/>
        </w:rPr>
      </w:pPr>
      <w:r w:rsidRPr="00E135D2">
        <w:rPr>
          <w:rFonts w:ascii="Cambria" w:hAnsi="Cambria" w:cs="Palatino-Roman"/>
          <w:b/>
          <w:sz w:val="20"/>
          <w:lang w:val="es-ES"/>
        </w:rPr>
        <w:t xml:space="preserve">Catálogo </w:t>
      </w:r>
      <w:proofErr w:type="spellStart"/>
      <w:r w:rsidRPr="00E135D2">
        <w:rPr>
          <w:rFonts w:ascii="Cambria" w:hAnsi="Cambria" w:cs="Palatino-Roman"/>
          <w:b/>
          <w:sz w:val="20"/>
          <w:lang w:val="es-ES"/>
        </w:rPr>
        <w:t>Latindex</w:t>
      </w:r>
      <w:proofErr w:type="spellEnd"/>
      <w:r w:rsidRPr="00E135D2">
        <w:rPr>
          <w:rFonts w:ascii="Cambria" w:hAnsi="Cambria" w:cs="Palatino-Roman"/>
          <w:sz w:val="20"/>
          <w:lang w:val="es-ES"/>
        </w:rPr>
        <w:t xml:space="preserve"> – Sistema Regional de Información en Línea para Revistas Científicas de América Latina, el Caribe, España y Portugal: </w:t>
      </w:r>
      <w:hyperlink r:id="rId10" w:history="1">
        <w:r w:rsidRPr="00E135D2">
          <w:rPr>
            <w:rStyle w:val="Hiperligao"/>
            <w:rFonts w:ascii="Cambria" w:hAnsi="Cambria" w:cs="Palatino-Roman"/>
            <w:sz w:val="20"/>
            <w:lang w:val="es-ES"/>
          </w:rPr>
          <w:t>http://www.latindex.unam.mx/latindex/ficha?folio=14734</w:t>
        </w:r>
      </w:hyperlink>
      <w:r w:rsidRPr="00E135D2">
        <w:rPr>
          <w:rFonts w:ascii="Cambria" w:hAnsi="Cambria" w:cs="Palatino-Roman"/>
          <w:sz w:val="20"/>
          <w:lang w:val="es-ES"/>
        </w:rPr>
        <w:t xml:space="preserve"> ; </w:t>
      </w:r>
    </w:p>
    <w:p w14:paraId="39A953F3" w14:textId="79B140BA" w:rsidR="000902C0" w:rsidRPr="000902C0" w:rsidRDefault="000902C0" w:rsidP="000902C0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  <w:lang w:val="en-US"/>
        </w:rPr>
      </w:pPr>
      <w:r w:rsidRPr="000902C0">
        <w:rPr>
          <w:rFonts w:ascii="Cambria" w:hAnsi="Cambria" w:cs="Palatino-Roman"/>
          <w:b/>
          <w:sz w:val="20"/>
          <w:lang w:val="en-US"/>
        </w:rPr>
        <w:t>ERIH PLUS (European Reference Index for the Humanities)</w:t>
      </w:r>
      <w:r w:rsidRPr="000902C0">
        <w:rPr>
          <w:rFonts w:ascii="Cambria" w:hAnsi="Cambria" w:cs="Palatino-Roman"/>
          <w:sz w:val="20"/>
          <w:lang w:val="en-US"/>
        </w:rPr>
        <w:t xml:space="preserve">: </w:t>
      </w:r>
      <w:hyperlink r:id="rId11" w:history="1">
        <w:r w:rsidRPr="000902C0">
          <w:rPr>
            <w:rStyle w:val="Hiperligao"/>
            <w:rFonts w:ascii="Cambria" w:hAnsi="Cambria" w:cs="Palatino-Roman"/>
            <w:sz w:val="20"/>
            <w:lang w:val="en-US"/>
          </w:rPr>
          <w:t>https://dbh.nsd.uib.no/publiseringskanaler/erihplus/periodical/info?id=482587</w:t>
        </w:r>
      </w:hyperlink>
      <w:r w:rsidRPr="000902C0">
        <w:rPr>
          <w:rFonts w:ascii="Cambria" w:hAnsi="Cambria" w:cs="Palatino-Roman"/>
          <w:sz w:val="20"/>
          <w:lang w:val="en-US"/>
        </w:rPr>
        <w:t>.</w:t>
      </w:r>
    </w:p>
    <w:p w14:paraId="30065790" w14:textId="72578348" w:rsidR="000902C0" w:rsidRPr="000902C0" w:rsidRDefault="000902C0" w:rsidP="000902C0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  <w:lang w:val="en-US"/>
        </w:rPr>
      </w:pPr>
      <w:r w:rsidRPr="000902C0">
        <w:rPr>
          <w:rFonts w:ascii="Cambria" w:hAnsi="Cambria" w:cstheme="minorHAnsi"/>
          <w:sz w:val="20"/>
          <w:szCs w:val="24"/>
          <w:lang w:val="en-US"/>
        </w:rPr>
        <w:t>Please, check all the information about the journal in our website:</w:t>
      </w:r>
    </w:p>
    <w:p w14:paraId="7E59F152" w14:textId="77777777" w:rsidR="000902C0" w:rsidRPr="000902C0" w:rsidRDefault="00BD10BA" w:rsidP="000902C0">
      <w:pPr>
        <w:spacing w:line="240" w:lineRule="auto"/>
        <w:rPr>
          <w:rFonts w:ascii="Cambria" w:hAnsi="Cambria" w:cstheme="minorHAnsi"/>
          <w:sz w:val="20"/>
          <w:szCs w:val="24"/>
          <w:lang w:val="en-US"/>
        </w:rPr>
      </w:pPr>
      <w:hyperlink r:id="rId12" w:history="1">
        <w:r w:rsidR="000902C0" w:rsidRPr="000902C0">
          <w:rPr>
            <w:rStyle w:val="Hiperligao"/>
            <w:rFonts w:ascii="Cambria" w:hAnsi="Cambria" w:cstheme="minorHAnsi"/>
            <w:sz w:val="20"/>
            <w:lang w:val="en-US"/>
          </w:rPr>
          <w:t>http://exaequo.apem-estudos.org/page/numeros-publicados?lingua=en</w:t>
        </w:r>
      </w:hyperlink>
    </w:p>
    <w:p w14:paraId="086BF4FE" w14:textId="344F9438" w:rsidR="000902C0" w:rsidRPr="000902C0" w:rsidRDefault="000902C0" w:rsidP="00BB1207">
      <w:pPr>
        <w:spacing w:after="60"/>
        <w:ind w:right="-772"/>
        <w:jc w:val="both"/>
        <w:rPr>
          <w:rFonts w:ascii="Cambria" w:hAnsi="Cambria"/>
          <w:lang w:val="en-US"/>
        </w:rPr>
      </w:pPr>
    </w:p>
    <w:p w14:paraId="0845DDE2" w14:textId="08E6C5D8" w:rsidR="00BB1207" w:rsidRPr="000902C0" w:rsidRDefault="00BB1207" w:rsidP="00BB1207">
      <w:pPr>
        <w:spacing w:after="60"/>
        <w:ind w:right="-772"/>
        <w:rPr>
          <w:rStyle w:val="Hiperligao"/>
          <w:rFonts w:ascii="Cambria" w:hAnsi="Cambria"/>
          <w:lang w:val="en-US"/>
        </w:rPr>
      </w:pPr>
    </w:p>
    <w:p w14:paraId="1F151BDF" w14:textId="77777777" w:rsidR="00BB1207" w:rsidRPr="000902C0" w:rsidRDefault="00BB1207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</w:pPr>
    </w:p>
    <w:sectPr w:rsidR="00BB1207" w:rsidRPr="000902C0" w:rsidSect="001F004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32E6"/>
    <w:multiLevelType w:val="hybridMultilevel"/>
    <w:tmpl w:val="C6F43B3C"/>
    <w:lvl w:ilvl="0" w:tplc="63123E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B71"/>
    <w:multiLevelType w:val="hybridMultilevel"/>
    <w:tmpl w:val="3AEAA29C"/>
    <w:lvl w:ilvl="0" w:tplc="C52A7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F5040"/>
    <w:multiLevelType w:val="hybridMultilevel"/>
    <w:tmpl w:val="F72C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3"/>
    <w:rsid w:val="00003976"/>
    <w:rsid w:val="00060749"/>
    <w:rsid w:val="000813F2"/>
    <w:rsid w:val="000902C0"/>
    <w:rsid w:val="000A3C6A"/>
    <w:rsid w:val="00102440"/>
    <w:rsid w:val="001109A0"/>
    <w:rsid w:val="00135E43"/>
    <w:rsid w:val="00151AC4"/>
    <w:rsid w:val="0015236F"/>
    <w:rsid w:val="001558ED"/>
    <w:rsid w:val="001774B9"/>
    <w:rsid w:val="001F0047"/>
    <w:rsid w:val="00267D60"/>
    <w:rsid w:val="002B45DC"/>
    <w:rsid w:val="002B5734"/>
    <w:rsid w:val="002C5FDC"/>
    <w:rsid w:val="002D3C1F"/>
    <w:rsid w:val="003B4ED9"/>
    <w:rsid w:val="003B6392"/>
    <w:rsid w:val="00463BE0"/>
    <w:rsid w:val="00493D2F"/>
    <w:rsid w:val="004C0A0E"/>
    <w:rsid w:val="004F1D7F"/>
    <w:rsid w:val="00556C8B"/>
    <w:rsid w:val="0059071D"/>
    <w:rsid w:val="005D4430"/>
    <w:rsid w:val="005E5CDD"/>
    <w:rsid w:val="006003BB"/>
    <w:rsid w:val="00604F3A"/>
    <w:rsid w:val="006301E9"/>
    <w:rsid w:val="00661982"/>
    <w:rsid w:val="0069636F"/>
    <w:rsid w:val="006A6E63"/>
    <w:rsid w:val="007119CF"/>
    <w:rsid w:val="0075726B"/>
    <w:rsid w:val="007A51A4"/>
    <w:rsid w:val="007C4BC0"/>
    <w:rsid w:val="00801CCD"/>
    <w:rsid w:val="008571E3"/>
    <w:rsid w:val="00861708"/>
    <w:rsid w:val="00862E5F"/>
    <w:rsid w:val="008C1818"/>
    <w:rsid w:val="00915BB0"/>
    <w:rsid w:val="00930858"/>
    <w:rsid w:val="00940C76"/>
    <w:rsid w:val="00972454"/>
    <w:rsid w:val="00980EF4"/>
    <w:rsid w:val="00982A87"/>
    <w:rsid w:val="009C02BB"/>
    <w:rsid w:val="009C0F09"/>
    <w:rsid w:val="009C19FF"/>
    <w:rsid w:val="00A14A9E"/>
    <w:rsid w:val="00AB78E0"/>
    <w:rsid w:val="00AF0245"/>
    <w:rsid w:val="00B115AD"/>
    <w:rsid w:val="00B72386"/>
    <w:rsid w:val="00BB1207"/>
    <w:rsid w:val="00BD10BA"/>
    <w:rsid w:val="00BD5BB9"/>
    <w:rsid w:val="00BE40F6"/>
    <w:rsid w:val="00BE4EFC"/>
    <w:rsid w:val="00BF67E4"/>
    <w:rsid w:val="00C92DD7"/>
    <w:rsid w:val="00CB4EB4"/>
    <w:rsid w:val="00DA5DDD"/>
    <w:rsid w:val="00E15754"/>
    <w:rsid w:val="00EE1462"/>
    <w:rsid w:val="00F637E3"/>
    <w:rsid w:val="00FA2B1F"/>
    <w:rsid w:val="00FC546C"/>
    <w:rsid w:val="00FD1B23"/>
    <w:rsid w:val="00FE2658"/>
    <w:rsid w:val="00FE68C6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6FBFD"/>
  <w15:docId w15:val="{29403151-0903-4B45-9CCB-6213D2B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4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6170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6170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6170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6170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6170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17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F1D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5FDC"/>
    <w:pPr>
      <w:ind w:left="720"/>
      <w:contextualSpacing/>
    </w:pPr>
  </w:style>
  <w:style w:type="paragraph" w:customStyle="1" w:styleId="Normal1">
    <w:name w:val="Normal1"/>
    <w:rsid w:val="00BB1207"/>
    <w:pPr>
      <w:spacing w:after="0"/>
    </w:pPr>
    <w:rPr>
      <w:rFonts w:ascii="Arial" w:eastAsia="Arial" w:hAnsi="Arial" w:cs="Helvetica"/>
      <w:color w:val="000000"/>
      <w:lang w:val="en-US" w:eastAsia="en-US"/>
    </w:rPr>
  </w:style>
  <w:style w:type="character" w:styleId="Forte">
    <w:name w:val="Strong"/>
    <w:uiPriority w:val="22"/>
    <w:qFormat/>
    <w:rsid w:val="000902C0"/>
    <w:rPr>
      <w:b/>
      <w:bCs/>
    </w:rPr>
  </w:style>
  <w:style w:type="character" w:customStyle="1" w:styleId="apple-converted-space">
    <w:name w:val="apple-converted-space"/>
    <w:basedOn w:val="Tipodeletrapredefinidodopargrafo"/>
    <w:rsid w:val="000902C0"/>
  </w:style>
  <w:style w:type="character" w:styleId="nfase">
    <w:name w:val="Emphasis"/>
    <w:basedOn w:val="Tipodeletrapredefinidodopargrafo"/>
    <w:uiPriority w:val="20"/>
    <w:qFormat/>
    <w:rsid w:val="00090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SCIE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netcabo.pt/exchweb/bin/redir.asp?URL=http://alfa.fct.mctes.pt/apoios/facc/estatisticas/periodicos_2002_2006%23sociais" TargetMode="External"/><Relationship Id="rId12" Type="http://schemas.openxmlformats.org/officeDocument/2006/relationships/hyperlink" Target="http://exaequo.apem-estudos.org/page/numeros-publicados?lingua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bh.nsd.uib.no/publiseringskanaler/erihplus/periodical/info?id=482587" TargetMode="External"/><Relationship Id="rId5" Type="http://schemas.openxmlformats.org/officeDocument/2006/relationships/hyperlink" Target="mailto:apem1991@gmail.com" TargetMode="External"/><Relationship Id="rId10" Type="http://schemas.openxmlformats.org/officeDocument/2006/relationships/hyperlink" Target="http://www.latindex.unam.mx/latindex/ficha?folio=14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mec.pt/scielo.php?script=sci_serial&amp;pid=0874-5560&amp;lng=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Henriques</dc:creator>
  <cp:lastModifiedBy>ZZZ</cp:lastModifiedBy>
  <cp:revision>8</cp:revision>
  <dcterms:created xsi:type="dcterms:W3CDTF">2017-07-05T21:19:00Z</dcterms:created>
  <dcterms:modified xsi:type="dcterms:W3CDTF">2017-07-25T17:01:00Z</dcterms:modified>
</cp:coreProperties>
</file>