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elha"/>
        <w:tblW w:w="9922" w:type="dxa"/>
        <w:tblLook w:val="04A0" w:firstRow="1" w:lastRow="0" w:firstColumn="1" w:lastColumn="0" w:noHBand="0" w:noVBand="1"/>
      </w:tblPr>
      <w:tblGrid>
        <w:gridCol w:w="6946"/>
        <w:gridCol w:w="2976"/>
      </w:tblGrid>
      <w:tr w:rsidR="00641EA0" w:rsidTr="00641EA0">
        <w:tc>
          <w:tcPr>
            <w:tcW w:w="6946" w:type="dxa"/>
            <w:tcBorders>
              <w:top w:val="nil"/>
              <w:left w:val="nil"/>
              <w:bottom w:val="nil"/>
              <w:right w:val="nil"/>
            </w:tcBorders>
          </w:tcPr>
          <w:p w:rsidR="00641EA0" w:rsidRDefault="00641EA0" w:rsidP="00641EA0">
            <w:pPr>
              <w:jc w:val="center"/>
            </w:pPr>
            <w:r w:rsidRPr="00641EA0">
              <w:rPr>
                <w:noProof/>
                <w:lang w:val="en-US" w:eastAsia="en-US"/>
              </w:rPr>
              <w:drawing>
                <wp:inline distT="0" distB="0" distL="0" distR="0">
                  <wp:extent cx="2171700" cy="507844"/>
                  <wp:effectExtent l="0" t="0" r="0" b="6985"/>
                  <wp:docPr id="1" name="Imagem 1" descr="D:\Ficheiros Virgínia Outubro 2007 actualizados set 2014\APEM\AA ex aequo\Instrumentos e procedimentos\Divulgação de números\Logo ex aeq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cheiros Virgínia Outubro 2007 actualizados set 2014\APEM\AA ex aequo\Instrumentos e procedimentos\Divulgação de números\Logo ex aequ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7429" cy="541922"/>
                          </a:xfrm>
                          <a:prstGeom prst="rect">
                            <a:avLst/>
                          </a:prstGeom>
                          <a:noFill/>
                          <a:ln>
                            <a:noFill/>
                          </a:ln>
                        </pic:spPr>
                      </pic:pic>
                    </a:graphicData>
                  </a:graphic>
                </wp:inline>
              </w:drawing>
            </w:r>
          </w:p>
          <w:p w:rsidR="00641EA0" w:rsidRDefault="00641EA0" w:rsidP="00641EA0">
            <w:pPr>
              <w:jc w:val="center"/>
            </w:pPr>
          </w:p>
          <w:p w:rsidR="00641EA0" w:rsidRDefault="00641EA0" w:rsidP="00641EA0">
            <w:pPr>
              <w:jc w:val="center"/>
            </w:pPr>
          </w:p>
          <w:p w:rsidR="00641EA0" w:rsidRPr="000C353A" w:rsidRDefault="00641EA0" w:rsidP="00641EA0">
            <w:pPr>
              <w:jc w:val="center"/>
              <w:rPr>
                <w:lang w:val="fr-FR"/>
              </w:rPr>
            </w:pPr>
            <w:r w:rsidRPr="005C4FE1">
              <w:rPr>
                <w:rFonts w:ascii="Cambria" w:hAnsi="Cambria"/>
                <w:lang w:val="fr-FR"/>
              </w:rPr>
              <w:t>APPEL À CONTRIBUTIONS/CALL FOR PAPERS</w:t>
            </w:r>
          </w:p>
          <w:p w:rsidR="00641EA0" w:rsidRPr="000C353A" w:rsidRDefault="00641EA0" w:rsidP="00641EA0">
            <w:pPr>
              <w:jc w:val="center"/>
              <w:rPr>
                <w:lang w:val="fr-FR"/>
              </w:rPr>
            </w:pPr>
          </w:p>
          <w:p w:rsidR="00641EA0" w:rsidRDefault="00641EA0" w:rsidP="00641EA0">
            <w:pPr>
              <w:spacing w:line="276" w:lineRule="auto"/>
              <w:ind w:left="720" w:hanging="720"/>
              <w:jc w:val="center"/>
              <w:rPr>
                <w:rFonts w:asciiTheme="minorHAnsi" w:hAnsiTheme="minorHAnsi"/>
                <w:b/>
                <w:color w:val="833C0B" w:themeColor="accent2" w:themeShade="80"/>
                <w:sz w:val="32"/>
                <w:lang w:val="fr-FR"/>
              </w:rPr>
            </w:pPr>
            <w:r w:rsidRPr="00641EA0">
              <w:rPr>
                <w:rFonts w:asciiTheme="minorHAnsi" w:hAnsiTheme="minorHAnsi"/>
                <w:b/>
                <w:color w:val="833C0B" w:themeColor="accent2" w:themeShade="80"/>
                <w:sz w:val="32"/>
                <w:lang w:val="fr-FR"/>
              </w:rPr>
              <w:t xml:space="preserve">Femme et presse périodique coloniale: </w:t>
            </w:r>
          </w:p>
          <w:p w:rsidR="00641EA0" w:rsidRPr="00641EA0" w:rsidRDefault="00641EA0" w:rsidP="00641EA0">
            <w:pPr>
              <w:spacing w:line="276" w:lineRule="auto"/>
              <w:ind w:left="720" w:hanging="720"/>
              <w:jc w:val="center"/>
              <w:rPr>
                <w:rFonts w:asciiTheme="minorHAnsi" w:hAnsiTheme="minorHAnsi"/>
                <w:b/>
                <w:color w:val="833C0B" w:themeColor="accent2" w:themeShade="80"/>
                <w:sz w:val="32"/>
                <w:lang w:val="fr-FR"/>
              </w:rPr>
            </w:pPr>
            <w:r w:rsidRPr="00641EA0">
              <w:rPr>
                <w:rFonts w:asciiTheme="minorHAnsi" w:hAnsiTheme="minorHAnsi"/>
                <w:b/>
                <w:color w:val="833C0B" w:themeColor="accent2" w:themeShade="80"/>
                <w:sz w:val="32"/>
                <w:lang w:val="fr-FR"/>
              </w:rPr>
              <w:t>discours et représentations</w:t>
            </w:r>
          </w:p>
          <w:p w:rsidR="00641EA0" w:rsidRPr="00641EA0" w:rsidRDefault="00641EA0" w:rsidP="00641EA0">
            <w:pPr>
              <w:spacing w:line="276" w:lineRule="auto"/>
              <w:jc w:val="center"/>
              <w:rPr>
                <w:rFonts w:asciiTheme="minorHAnsi" w:hAnsiTheme="minorHAnsi"/>
                <w:sz w:val="28"/>
                <w:lang w:val="fr-FR"/>
              </w:rPr>
            </w:pPr>
          </w:p>
          <w:p w:rsidR="00641EA0" w:rsidRPr="000C353A" w:rsidRDefault="00641EA0" w:rsidP="00641EA0">
            <w:pPr>
              <w:spacing w:line="276" w:lineRule="auto"/>
              <w:rPr>
                <w:rFonts w:asciiTheme="minorHAnsi" w:hAnsiTheme="minorHAnsi"/>
                <w:sz w:val="28"/>
                <w:lang w:val="fr-FR"/>
              </w:rPr>
            </w:pPr>
            <w:r w:rsidRPr="000C353A">
              <w:rPr>
                <w:rFonts w:asciiTheme="minorHAnsi" w:hAnsiTheme="minorHAnsi"/>
                <w:sz w:val="28"/>
                <w:lang w:val="fr-FR"/>
              </w:rPr>
              <w:t xml:space="preserve">Coordination: </w:t>
            </w:r>
            <w:r w:rsidRPr="000C353A">
              <w:rPr>
                <w:rFonts w:asciiTheme="minorHAnsi" w:hAnsiTheme="minorHAnsi"/>
                <w:b/>
                <w:sz w:val="28"/>
                <w:lang w:val="fr-FR"/>
              </w:rPr>
              <w:t xml:space="preserve">Jessica </w:t>
            </w:r>
            <w:proofErr w:type="spellStart"/>
            <w:r w:rsidRPr="000C353A">
              <w:rPr>
                <w:rFonts w:asciiTheme="minorHAnsi" w:hAnsiTheme="minorHAnsi"/>
                <w:b/>
                <w:sz w:val="28"/>
                <w:lang w:val="fr-FR"/>
              </w:rPr>
              <w:t>Falconi</w:t>
            </w:r>
            <w:proofErr w:type="spellEnd"/>
            <w:r w:rsidRPr="000C353A">
              <w:rPr>
                <w:rFonts w:asciiTheme="minorHAnsi" w:hAnsiTheme="minorHAnsi"/>
                <w:b/>
                <w:sz w:val="28"/>
                <w:lang w:val="fr-FR"/>
              </w:rPr>
              <w:t xml:space="preserve"> </w:t>
            </w:r>
            <w:r w:rsidRPr="000C353A">
              <w:rPr>
                <w:rFonts w:asciiTheme="minorHAnsi" w:hAnsiTheme="minorHAnsi"/>
                <w:sz w:val="28"/>
                <w:lang w:val="fr-FR"/>
              </w:rPr>
              <w:t>(</w:t>
            </w:r>
            <w:proofErr w:type="spellStart"/>
            <w:r w:rsidRPr="000C353A">
              <w:rPr>
                <w:rFonts w:asciiTheme="minorHAnsi" w:hAnsiTheme="minorHAnsi"/>
                <w:sz w:val="28"/>
                <w:lang w:val="fr-FR"/>
              </w:rPr>
              <w:t>CEsA-ULisboa</w:t>
            </w:r>
            <w:proofErr w:type="spellEnd"/>
            <w:r w:rsidRPr="000C353A">
              <w:rPr>
                <w:rFonts w:asciiTheme="minorHAnsi" w:hAnsiTheme="minorHAnsi"/>
                <w:sz w:val="28"/>
                <w:lang w:val="fr-FR"/>
              </w:rPr>
              <w:t xml:space="preserve">) </w:t>
            </w:r>
          </w:p>
          <w:p w:rsidR="00641EA0" w:rsidRPr="00641EA0" w:rsidRDefault="00641EA0" w:rsidP="00641EA0">
            <w:pPr>
              <w:spacing w:line="276" w:lineRule="auto"/>
              <w:ind w:left="1588"/>
              <w:rPr>
                <w:rFonts w:asciiTheme="minorHAnsi" w:hAnsiTheme="minorHAnsi"/>
                <w:sz w:val="28"/>
                <w:lang w:val="fr-FR"/>
              </w:rPr>
            </w:pPr>
            <w:r w:rsidRPr="00641EA0">
              <w:rPr>
                <w:rFonts w:asciiTheme="minorHAnsi" w:hAnsiTheme="minorHAnsi"/>
                <w:b/>
                <w:sz w:val="28"/>
                <w:lang w:val="fr-FR"/>
              </w:rPr>
              <w:t>Doris Wieser</w:t>
            </w:r>
            <w:r w:rsidRPr="00641EA0">
              <w:rPr>
                <w:rFonts w:asciiTheme="minorHAnsi" w:hAnsiTheme="minorHAnsi"/>
                <w:sz w:val="28"/>
                <w:lang w:val="fr-FR"/>
              </w:rPr>
              <w:t xml:space="preserve"> (CEC-FLUL)</w:t>
            </w:r>
          </w:p>
          <w:p w:rsidR="00641EA0" w:rsidRPr="00641EA0" w:rsidRDefault="00641EA0" w:rsidP="00641EA0">
            <w:pPr>
              <w:spacing w:line="276" w:lineRule="auto"/>
              <w:jc w:val="center"/>
              <w:rPr>
                <w:rFonts w:asciiTheme="minorHAnsi" w:hAnsiTheme="minorHAnsi"/>
                <w:sz w:val="28"/>
                <w:lang w:val="fr-FR"/>
              </w:rPr>
            </w:pPr>
          </w:p>
          <w:p w:rsidR="00641EA0" w:rsidRPr="00641EA0" w:rsidRDefault="00641EA0" w:rsidP="00641EA0">
            <w:pPr>
              <w:shd w:val="clear" w:color="auto" w:fill="FFFFFF"/>
              <w:spacing w:line="276" w:lineRule="auto"/>
              <w:jc w:val="center"/>
              <w:rPr>
                <w:rFonts w:asciiTheme="minorHAnsi" w:hAnsiTheme="minorHAnsi"/>
                <w:b/>
                <w:sz w:val="28"/>
                <w:lang w:val="fr-FR"/>
              </w:rPr>
            </w:pPr>
            <w:r w:rsidRPr="00641EA0">
              <w:rPr>
                <w:rFonts w:asciiTheme="minorHAnsi" w:hAnsiTheme="minorHAnsi"/>
                <w:b/>
                <w:sz w:val="28"/>
                <w:lang w:val="fr-FR"/>
              </w:rPr>
              <w:t xml:space="preserve">DÉLAI D’ENVOI – </w:t>
            </w:r>
            <w:r w:rsidR="000C353A">
              <w:rPr>
                <w:rFonts w:asciiTheme="minorHAnsi" w:hAnsiTheme="minorHAnsi"/>
                <w:b/>
                <w:sz w:val="28"/>
                <w:lang w:val="fr-FR"/>
              </w:rPr>
              <w:t>30</w:t>
            </w:r>
            <w:r w:rsidRPr="00641EA0">
              <w:rPr>
                <w:rFonts w:asciiTheme="minorHAnsi" w:hAnsiTheme="minorHAnsi"/>
                <w:b/>
                <w:sz w:val="28"/>
                <w:lang w:val="fr-FR"/>
              </w:rPr>
              <w:t xml:space="preserve"> NOVEMBRE 2018 </w:t>
            </w:r>
          </w:p>
          <w:p w:rsidR="00641EA0" w:rsidRPr="00641EA0" w:rsidRDefault="00641EA0" w:rsidP="00641EA0">
            <w:pPr>
              <w:shd w:val="clear" w:color="auto" w:fill="FFFFFF"/>
              <w:spacing w:line="276" w:lineRule="auto"/>
              <w:jc w:val="center"/>
              <w:rPr>
                <w:rFonts w:asciiTheme="minorHAnsi" w:hAnsiTheme="minorHAnsi"/>
                <w:b/>
                <w:sz w:val="28"/>
                <w:lang w:val="fr-FR"/>
              </w:rPr>
            </w:pPr>
            <w:r w:rsidRPr="00641EA0">
              <w:rPr>
                <w:rFonts w:asciiTheme="minorHAnsi" w:hAnsiTheme="minorHAnsi"/>
                <w:b/>
                <w:sz w:val="28"/>
                <w:lang w:val="fr-FR"/>
              </w:rPr>
              <w:t>(à publier en juin 2019)</w:t>
            </w:r>
          </w:p>
          <w:p w:rsidR="00641EA0" w:rsidRPr="00641EA0" w:rsidRDefault="00641EA0" w:rsidP="00641EA0">
            <w:pPr>
              <w:jc w:val="center"/>
              <w:rPr>
                <w:lang w:val="fr-FR"/>
              </w:rPr>
            </w:pPr>
          </w:p>
        </w:tc>
        <w:tc>
          <w:tcPr>
            <w:tcW w:w="2976" w:type="dxa"/>
            <w:tcBorders>
              <w:top w:val="nil"/>
              <w:left w:val="nil"/>
              <w:bottom w:val="nil"/>
              <w:right w:val="nil"/>
            </w:tcBorders>
          </w:tcPr>
          <w:p w:rsidR="00641EA0" w:rsidRDefault="00641EA0" w:rsidP="00641EA0">
            <w:pPr>
              <w:spacing w:line="360" w:lineRule="auto"/>
              <w:jc w:val="center"/>
              <w:rPr>
                <w:rFonts w:ascii="Arial" w:hAnsi="Arial" w:cs="Arial"/>
                <w:noProof/>
                <w:color w:val="A25D5D"/>
                <w:spacing w:val="-14"/>
                <w:sz w:val="27"/>
                <w:szCs w:val="27"/>
                <w:bdr w:val="none" w:sz="0" w:space="0" w:color="auto" w:frame="1"/>
              </w:rPr>
            </w:pPr>
            <w:r>
              <w:rPr>
                <w:rFonts w:ascii="Arial" w:hAnsi="Arial" w:cs="Arial"/>
                <w:noProof/>
                <w:color w:val="A25D5D"/>
                <w:spacing w:val="-14"/>
                <w:sz w:val="27"/>
                <w:szCs w:val="27"/>
                <w:bdr w:val="none" w:sz="0" w:space="0" w:color="auto" w:frame="1"/>
              </w:rPr>
              <w:t>Acceptée:</w:t>
            </w:r>
          </w:p>
          <w:p w:rsidR="00641EA0" w:rsidRPr="00062F07" w:rsidRDefault="00641EA0" w:rsidP="00641EA0">
            <w:pPr>
              <w:spacing w:line="360" w:lineRule="auto"/>
              <w:jc w:val="center"/>
              <w:rPr>
                <w:b/>
                <w:lang w:val="fr-FR"/>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5D01FC34" wp14:editId="30352E09">
                  <wp:extent cx="1126828" cy="346098"/>
                  <wp:effectExtent l="0" t="0" r="0" b="0"/>
                  <wp:docPr id="8" name="Imagem 8" descr="http://exaequo.apem-estudos.org/theme/apem/images/scopus.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xaequo.apem-estudos.org/theme/apem/images/scopus.pn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3387" cy="369613"/>
                          </a:xfrm>
                          <a:prstGeom prst="rect">
                            <a:avLst/>
                          </a:prstGeom>
                          <a:noFill/>
                          <a:ln>
                            <a:noFill/>
                          </a:ln>
                        </pic:spPr>
                      </pic:pic>
                    </a:graphicData>
                  </a:graphic>
                </wp:inline>
              </w:drawing>
            </w:r>
          </w:p>
          <w:p w:rsidR="00641EA0" w:rsidRDefault="00641EA0" w:rsidP="00641EA0">
            <w:pPr>
              <w:spacing w:line="360" w:lineRule="auto"/>
              <w:jc w:val="center"/>
              <w:rPr>
                <w:rFonts w:ascii="Arial" w:hAnsi="Arial" w:cs="Arial"/>
                <w:noProof/>
                <w:color w:val="A25D5D"/>
                <w:spacing w:val="-14"/>
                <w:sz w:val="27"/>
                <w:szCs w:val="27"/>
                <w:bdr w:val="none" w:sz="0" w:space="0" w:color="auto" w:frame="1"/>
              </w:rPr>
            </w:pPr>
            <w:r>
              <w:rPr>
                <w:rFonts w:ascii="Arial" w:hAnsi="Arial" w:cs="Arial"/>
                <w:noProof/>
                <w:color w:val="A25D5D"/>
                <w:spacing w:val="-14"/>
                <w:sz w:val="27"/>
                <w:szCs w:val="27"/>
                <w:bdr w:val="none" w:sz="0" w:space="0" w:color="auto" w:frame="1"/>
              </w:rPr>
              <w:t>Indexé:</w:t>
            </w:r>
          </w:p>
          <w:p w:rsidR="00641EA0" w:rsidRDefault="00641EA0" w:rsidP="00641EA0">
            <w:pPr>
              <w:spacing w:line="360" w:lineRule="auto"/>
              <w:jc w:val="center"/>
              <w:rPr>
                <w:rFonts w:ascii="Arial" w:hAnsi="Arial" w:cs="Arial"/>
                <w:noProof/>
                <w:color w:val="A25D5D"/>
                <w:spacing w:val="-14"/>
                <w:sz w:val="27"/>
                <w:szCs w:val="27"/>
                <w:bdr w:val="none" w:sz="0" w:space="0" w:color="auto" w:frame="1"/>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0333CC44" wp14:editId="752FFAA2">
                  <wp:extent cx="1161025" cy="533697"/>
                  <wp:effectExtent l="0" t="0" r="1270" b="0"/>
                  <wp:docPr id="10" name="Imagem 10" descr="http://exaequo.apem-estudos.org/theme/apem/images/scielo.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xaequo.apem-estudos.org/theme/apem/images/scielo.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237" cy="546206"/>
                          </a:xfrm>
                          <a:prstGeom prst="rect">
                            <a:avLst/>
                          </a:prstGeom>
                          <a:noFill/>
                          <a:ln>
                            <a:noFill/>
                          </a:ln>
                        </pic:spPr>
                      </pic:pic>
                    </a:graphicData>
                  </a:graphic>
                </wp:inline>
              </w:drawing>
            </w:r>
          </w:p>
          <w:p w:rsidR="00641EA0" w:rsidRDefault="00641EA0" w:rsidP="00641EA0">
            <w:pPr>
              <w:spacing w:line="360" w:lineRule="auto"/>
              <w:jc w:val="center"/>
              <w:rPr>
                <w:rFonts w:ascii="Arial" w:hAnsi="Arial" w:cs="Arial"/>
                <w:noProof/>
                <w:color w:val="A25D5D"/>
                <w:spacing w:val="-14"/>
                <w:sz w:val="27"/>
                <w:szCs w:val="27"/>
                <w:bdr w:val="none" w:sz="0" w:space="0" w:color="auto" w:frame="1"/>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4CAEFFF4" wp14:editId="709E2228">
                  <wp:extent cx="1376956" cy="366395"/>
                  <wp:effectExtent l="0" t="0" r="0" b="0"/>
                  <wp:docPr id="7" name="Imagem 7" descr="http://exaequo.apem-estudos.org/theme/apem/images/scielo_citation_index.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xaequo.apem-estudos.org/theme/apem/images/scielo_citation_index.png">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103" cy="391180"/>
                          </a:xfrm>
                          <a:prstGeom prst="rect">
                            <a:avLst/>
                          </a:prstGeom>
                          <a:noFill/>
                          <a:ln>
                            <a:noFill/>
                          </a:ln>
                        </pic:spPr>
                      </pic:pic>
                    </a:graphicData>
                  </a:graphic>
                </wp:inline>
              </w:drawing>
            </w:r>
          </w:p>
          <w:p w:rsidR="00641EA0" w:rsidRPr="00892334" w:rsidRDefault="00641EA0" w:rsidP="00641EA0">
            <w:pPr>
              <w:spacing w:line="360" w:lineRule="auto"/>
              <w:jc w:val="center"/>
              <w:rPr>
                <w:rFonts w:ascii="Arial" w:hAnsi="Arial" w:cs="Arial"/>
                <w:noProof/>
                <w:color w:val="A25D5D"/>
                <w:spacing w:val="-14"/>
                <w:sz w:val="27"/>
                <w:szCs w:val="27"/>
                <w:bdr w:val="none" w:sz="0" w:space="0" w:color="auto" w:frame="1"/>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7D9155A8" wp14:editId="4B901B6C">
                  <wp:extent cx="1227667" cy="294640"/>
                  <wp:effectExtent l="0" t="0" r="0" b="0"/>
                  <wp:docPr id="4" name="Imagem 4" descr="http://exaequo.apem-estudos.org/theme/apem/images/doaj.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xaequo.apem-estudos.org/theme/apem/images/doaj.jpg">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2131" cy="305311"/>
                          </a:xfrm>
                          <a:prstGeom prst="rect">
                            <a:avLst/>
                          </a:prstGeom>
                          <a:noFill/>
                          <a:ln>
                            <a:noFill/>
                          </a:ln>
                        </pic:spPr>
                      </pic:pic>
                    </a:graphicData>
                  </a:graphic>
                </wp:inline>
              </w:drawing>
            </w:r>
          </w:p>
          <w:p w:rsidR="00641EA0" w:rsidRDefault="00641EA0" w:rsidP="00641EA0">
            <w:pPr>
              <w:spacing w:line="360" w:lineRule="auto"/>
              <w:jc w:val="center"/>
              <w:rPr>
                <w:b/>
                <w:lang w:val="fr-FR"/>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7278CEC8" wp14:editId="1FA1B29D">
                  <wp:extent cx="1277547" cy="376373"/>
                  <wp:effectExtent l="0" t="0" r="0" b="5080"/>
                  <wp:docPr id="3" name="Imagem 3" descr="http://exaequo.apem-estudos.org/theme/apem/images/erihplus.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xaequo.apem-estudos.org/theme/apem/images/erihplus.jpg">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7125" cy="393925"/>
                          </a:xfrm>
                          <a:prstGeom prst="rect">
                            <a:avLst/>
                          </a:prstGeom>
                          <a:noFill/>
                          <a:ln>
                            <a:noFill/>
                          </a:ln>
                        </pic:spPr>
                      </pic:pic>
                    </a:graphicData>
                  </a:graphic>
                </wp:inline>
              </w:drawing>
            </w:r>
          </w:p>
          <w:p w:rsidR="00641EA0" w:rsidRPr="00641EA0" w:rsidRDefault="00641EA0" w:rsidP="00641EA0">
            <w:pPr>
              <w:spacing w:line="360" w:lineRule="auto"/>
              <w:jc w:val="center"/>
              <w:rPr>
                <w:b/>
                <w:lang w:val="fr-FR"/>
              </w:rPr>
            </w:pPr>
            <w:r w:rsidRPr="005E6802">
              <w:rPr>
                <w:rFonts w:ascii="Arial" w:hAnsi="Arial" w:cs="Arial"/>
                <w:noProof/>
                <w:color w:val="A25D5D"/>
                <w:spacing w:val="-14"/>
                <w:sz w:val="27"/>
                <w:szCs w:val="27"/>
                <w:bdr w:val="none" w:sz="0" w:space="0" w:color="auto" w:frame="1"/>
                <w:lang w:val="en-US" w:eastAsia="en-US"/>
              </w:rPr>
              <w:drawing>
                <wp:inline distT="0" distB="0" distL="0" distR="0" wp14:anchorId="194DF081" wp14:editId="5E103291">
                  <wp:extent cx="1356404" cy="619125"/>
                  <wp:effectExtent l="0" t="0" r="0" b="0"/>
                  <wp:docPr id="2" name="Imagem 2" descr="http://exaequo.apem-estudos.org/theme/apem/images/latindex.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xaequo.apem-estudos.org/theme/apem/images/latindex.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6074" cy="623539"/>
                          </a:xfrm>
                          <a:prstGeom prst="rect">
                            <a:avLst/>
                          </a:prstGeom>
                          <a:noFill/>
                          <a:ln>
                            <a:noFill/>
                          </a:ln>
                        </pic:spPr>
                      </pic:pic>
                    </a:graphicData>
                  </a:graphic>
                </wp:inline>
              </w:drawing>
            </w:r>
          </w:p>
        </w:tc>
      </w:tr>
      <w:tr w:rsidR="00641EA0" w:rsidTr="00641EA0">
        <w:tc>
          <w:tcPr>
            <w:tcW w:w="6946" w:type="dxa"/>
            <w:tcBorders>
              <w:top w:val="nil"/>
              <w:left w:val="nil"/>
              <w:bottom w:val="nil"/>
              <w:right w:val="nil"/>
            </w:tcBorders>
          </w:tcPr>
          <w:p w:rsidR="00641EA0" w:rsidRDefault="00641EA0"/>
        </w:tc>
        <w:tc>
          <w:tcPr>
            <w:tcW w:w="2976" w:type="dxa"/>
            <w:tcBorders>
              <w:top w:val="nil"/>
              <w:left w:val="nil"/>
              <w:bottom w:val="nil"/>
              <w:right w:val="nil"/>
            </w:tcBorders>
          </w:tcPr>
          <w:p w:rsidR="00641EA0" w:rsidRDefault="00641EA0"/>
        </w:tc>
      </w:tr>
    </w:tbl>
    <w:p w:rsidR="00641EA0" w:rsidRPr="00641EA0" w:rsidRDefault="00641EA0" w:rsidP="00641EA0">
      <w:pPr>
        <w:spacing w:line="276" w:lineRule="auto"/>
        <w:jc w:val="both"/>
        <w:rPr>
          <w:rFonts w:ascii="Cambria" w:hAnsi="Cambria"/>
          <w:lang w:val="fr-FR"/>
        </w:rPr>
      </w:pPr>
      <w:r w:rsidRPr="00641EA0">
        <w:rPr>
          <w:rFonts w:ascii="Cambria" w:hAnsi="Cambria"/>
          <w:lang w:val="fr-FR"/>
        </w:rPr>
        <w:t>Ce dossier a l'intention de se concentrer sur la présence des femmes dans la presse périodique coloniale, comprise comme des archives multiformes et multi-localisées, qui comprend à la fois les publications périodiques basées dans les anciennes colonies portugaises et celles publiées dans la métropole sur des thèmes coloniaux. Il s’agit d’une archive qui produit des « réseaux de discours » (</w:t>
      </w:r>
      <w:proofErr w:type="spellStart"/>
      <w:r w:rsidRPr="00641EA0">
        <w:rPr>
          <w:rFonts w:ascii="Cambria" w:hAnsi="Cambria"/>
          <w:lang w:val="fr-FR"/>
        </w:rPr>
        <w:t>Helgesson</w:t>
      </w:r>
      <w:proofErr w:type="spellEnd"/>
      <w:r w:rsidRPr="00641EA0">
        <w:rPr>
          <w:rFonts w:ascii="Cambria" w:hAnsi="Cambria"/>
          <w:lang w:val="fr-FR"/>
        </w:rPr>
        <w:t>, 2011) et des « histoires connectées » (</w:t>
      </w:r>
      <w:proofErr w:type="spellStart"/>
      <w:r w:rsidRPr="00641EA0">
        <w:rPr>
          <w:rFonts w:ascii="Cambria" w:hAnsi="Cambria"/>
          <w:lang w:val="fr-FR"/>
        </w:rPr>
        <w:t>Codell</w:t>
      </w:r>
      <w:proofErr w:type="spellEnd"/>
      <w:r w:rsidRPr="00641EA0">
        <w:rPr>
          <w:rFonts w:ascii="Cambria" w:hAnsi="Cambria"/>
          <w:lang w:val="fr-FR"/>
        </w:rPr>
        <w:t xml:space="preserve">, 2003), mais aussi des silences et des omissions qui restent à éclairer. Dans le contexte des études sur la mémoire culturelle, le concept d'« archive » se traduit par « mémoire de stockage ». Pour </w:t>
      </w:r>
      <w:proofErr w:type="spellStart"/>
      <w:r w:rsidRPr="00641EA0">
        <w:rPr>
          <w:rFonts w:ascii="Cambria" w:hAnsi="Cambria"/>
          <w:lang w:val="fr-FR"/>
        </w:rPr>
        <w:t>Assmann</w:t>
      </w:r>
      <w:proofErr w:type="spellEnd"/>
      <w:r w:rsidRPr="00641EA0">
        <w:rPr>
          <w:rFonts w:ascii="Cambria" w:hAnsi="Cambria"/>
          <w:lang w:val="fr-FR"/>
        </w:rPr>
        <w:t xml:space="preserve"> (2011), celle-ci contient des éléments oubliés de l'histoire, non utilisés à un moment donné, </w:t>
      </w:r>
      <w:r w:rsidRPr="00641EA0">
        <w:rPr>
          <w:rStyle w:val="shorttext"/>
          <w:rFonts w:ascii="Cambria" w:hAnsi="Cambria"/>
          <w:lang w:val="fr-FR"/>
        </w:rPr>
        <w:t xml:space="preserve">constituant </w:t>
      </w:r>
      <w:r w:rsidRPr="00641EA0">
        <w:rPr>
          <w:rFonts w:ascii="Cambria" w:hAnsi="Cambria"/>
          <w:lang w:val="fr-FR"/>
        </w:rPr>
        <w:t>un réservoir de connaissances qui peut être employé pour changer ou produire un renouvellement de la « mémoire fonctionnelle » qui, à son tour, est conditionnée par les structures de pouvoir existantes. En ce sens, nous nous interrogeons dans quelle mesure l'étude de la présence des femmes dans la presse périodique coloniale peut contribuer à la création d'une mémoire fonctionnelle diversifiée, plus inclusive voire même contre-hégémonique. Nous avons l'intention d'examiner cette archive, en tenant compte de l'opacité du concept « femmes » en tant que sujet sociologique unitaire, en particulier lorsqu'il est appliqué au contexte colonial, où les différences de classe, de race et d’ethnicité ont marqué de façon significative les représentations, les discours et les positions politiques et idéologiques (</w:t>
      </w:r>
      <w:proofErr w:type="spellStart"/>
      <w:r w:rsidRPr="00641EA0">
        <w:rPr>
          <w:rFonts w:ascii="Cambria" w:hAnsi="Cambria"/>
          <w:lang w:val="fr-FR"/>
        </w:rPr>
        <w:t>Midgley</w:t>
      </w:r>
      <w:proofErr w:type="spellEnd"/>
      <w:r w:rsidRPr="00641EA0">
        <w:rPr>
          <w:rFonts w:ascii="Cambria" w:hAnsi="Cambria"/>
          <w:lang w:val="fr-FR"/>
        </w:rPr>
        <w:t xml:space="preserve">, 1998, </w:t>
      </w:r>
      <w:proofErr w:type="spellStart"/>
      <w:r w:rsidRPr="00641EA0">
        <w:rPr>
          <w:rFonts w:ascii="Cambria" w:hAnsi="Cambria"/>
          <w:lang w:val="fr-FR"/>
        </w:rPr>
        <w:t>Levine</w:t>
      </w:r>
      <w:proofErr w:type="spellEnd"/>
      <w:r w:rsidRPr="00641EA0">
        <w:rPr>
          <w:rFonts w:ascii="Cambria" w:hAnsi="Cambria"/>
          <w:lang w:val="fr-FR"/>
        </w:rPr>
        <w:t>, 2004).</w:t>
      </w:r>
    </w:p>
    <w:p w:rsidR="00641EA0" w:rsidRPr="00641EA0" w:rsidRDefault="00641EA0" w:rsidP="00641EA0">
      <w:pPr>
        <w:spacing w:line="276" w:lineRule="auto"/>
        <w:jc w:val="both"/>
        <w:rPr>
          <w:rFonts w:ascii="Cambria" w:hAnsi="Cambria"/>
          <w:lang w:val="fr-FR"/>
        </w:rPr>
      </w:pPr>
    </w:p>
    <w:p w:rsidR="00641EA0" w:rsidRPr="00641EA0" w:rsidRDefault="00641EA0" w:rsidP="00641EA0">
      <w:pPr>
        <w:spacing w:line="276" w:lineRule="auto"/>
        <w:jc w:val="both"/>
        <w:rPr>
          <w:rFonts w:ascii="Cambria" w:hAnsi="Cambria"/>
          <w:lang w:val="fr-FR"/>
        </w:rPr>
      </w:pPr>
      <w:r w:rsidRPr="00641EA0">
        <w:rPr>
          <w:rFonts w:ascii="Cambria" w:hAnsi="Cambria"/>
          <w:lang w:val="fr-FR"/>
        </w:rPr>
        <w:lastRenderedPageBreak/>
        <w:t xml:space="preserve">En ce qui concerne la participation des femmes dans la presse périodique au sein de l'espace qui a été considéré comme l'empire portugais, les études existantes se sont concentrées principalement sur la collaboration littéraire des voix proéminentes de la littérature en portugais qui ont émergé dans l’ancien espace colonial (Owen, 2007; </w:t>
      </w:r>
      <w:proofErr w:type="spellStart"/>
      <w:r w:rsidRPr="00641EA0">
        <w:rPr>
          <w:rFonts w:ascii="Cambria" w:hAnsi="Cambria"/>
          <w:lang w:val="fr-FR"/>
        </w:rPr>
        <w:t>Mendonça</w:t>
      </w:r>
      <w:proofErr w:type="spellEnd"/>
      <w:r w:rsidRPr="00641EA0">
        <w:rPr>
          <w:rFonts w:ascii="Cambria" w:hAnsi="Cambria"/>
          <w:lang w:val="fr-FR"/>
        </w:rPr>
        <w:t>, 1989). Cependant, la collaboration des femmes, aussi bien dans les « pages féminines » ou les «pages de femmes» que dans d'autres domaines et matières, reste encore à explorer de manière plus systématique. Par le biais de sujets divers, dont certains sont traditionnellement associés au « féminin » - la littérature, l'éducation, l'hygiène, les soins domestiques, la cuisine, la mode, etc. - les constructions de genre, de classe et de race sont négociées dans ces pages, ainsi que des idées de civilisation et de modernité (</w:t>
      </w:r>
      <w:proofErr w:type="spellStart"/>
      <w:r w:rsidRPr="00641EA0">
        <w:rPr>
          <w:rFonts w:ascii="Cambria" w:hAnsi="Cambria"/>
          <w:lang w:val="fr-FR"/>
        </w:rPr>
        <w:t>Havstad</w:t>
      </w:r>
      <w:proofErr w:type="spellEnd"/>
      <w:r w:rsidRPr="00641EA0">
        <w:rPr>
          <w:rFonts w:ascii="Cambria" w:hAnsi="Cambria"/>
          <w:lang w:val="fr-FR"/>
        </w:rPr>
        <w:t>, 2016) et des traditions et des valeurs locales et/ ou nationales. Y sont également négociées des reproductions et/ ou des contestations du discours colonial, produisant des positions ambivalentes et des récits à la fois individuels et collectifs.</w:t>
      </w:r>
    </w:p>
    <w:p w:rsidR="00641EA0" w:rsidRPr="00641EA0" w:rsidRDefault="00641EA0" w:rsidP="00641EA0">
      <w:pPr>
        <w:spacing w:line="276" w:lineRule="auto"/>
        <w:jc w:val="both"/>
        <w:rPr>
          <w:rFonts w:ascii="Cambria" w:hAnsi="Cambria"/>
          <w:lang w:val="fr-FR"/>
        </w:rPr>
      </w:pPr>
    </w:p>
    <w:p w:rsidR="00641EA0" w:rsidRPr="00641EA0" w:rsidRDefault="00641EA0" w:rsidP="00641EA0">
      <w:pPr>
        <w:spacing w:line="276" w:lineRule="auto"/>
        <w:jc w:val="both"/>
        <w:rPr>
          <w:rFonts w:ascii="Cambria" w:hAnsi="Cambria"/>
          <w:lang w:val="fr-FR"/>
        </w:rPr>
      </w:pPr>
      <w:r w:rsidRPr="00641EA0">
        <w:rPr>
          <w:rFonts w:ascii="Cambria" w:hAnsi="Cambria"/>
          <w:lang w:val="fr-FR"/>
        </w:rPr>
        <w:t xml:space="preserve">Certains des sujets pertinents sont liés aux questions suivantes : Quel rôle la presse coloniale a-t-elle joué pour les femmes en tant que collaboratrices actives et comment les activités domestiques, économiques, politiques et intellectuelles </w:t>
      </w:r>
      <w:proofErr w:type="spellStart"/>
      <w:r w:rsidRPr="00641EA0">
        <w:rPr>
          <w:rFonts w:ascii="Cambria" w:hAnsi="Cambria"/>
          <w:lang w:val="fr-FR"/>
        </w:rPr>
        <w:t>ont-elles</w:t>
      </w:r>
      <w:proofErr w:type="spellEnd"/>
      <w:r w:rsidRPr="00641EA0">
        <w:rPr>
          <w:rFonts w:ascii="Cambria" w:hAnsi="Cambria"/>
          <w:lang w:val="fr-FR"/>
        </w:rPr>
        <w:t xml:space="preserve"> été évaluées par les femmes ? Quels lieux leur étaient réservés et lesquels étaient difficiles d'accès? Étant donné qu'une part importante de la collaboration dans la presse coloniale provenait des femmes blanches de la classe moyenne, comment le « fardeau de la femme blanche » était-il incorporé (Burton, 1990) et comment étaient représentées les différentes constructions </w:t>
      </w:r>
      <w:proofErr w:type="spellStart"/>
      <w:r w:rsidRPr="00641EA0">
        <w:rPr>
          <w:rFonts w:ascii="Cambria" w:hAnsi="Cambria"/>
          <w:lang w:val="fr-FR"/>
        </w:rPr>
        <w:t>racialisées</w:t>
      </w:r>
      <w:proofErr w:type="spellEnd"/>
      <w:r w:rsidRPr="00641EA0">
        <w:rPr>
          <w:rFonts w:ascii="Cambria" w:hAnsi="Cambria"/>
          <w:lang w:val="fr-FR"/>
        </w:rPr>
        <w:t xml:space="preserve"> des femmes?</w:t>
      </w:r>
    </w:p>
    <w:p w:rsidR="00641EA0" w:rsidRPr="00641EA0" w:rsidRDefault="00641EA0" w:rsidP="00641EA0">
      <w:pPr>
        <w:spacing w:line="276" w:lineRule="auto"/>
        <w:jc w:val="both"/>
        <w:rPr>
          <w:rFonts w:ascii="Cambria" w:hAnsi="Cambria"/>
          <w:lang w:val="fr-FR"/>
        </w:rPr>
      </w:pPr>
    </w:p>
    <w:p w:rsidR="00641EA0" w:rsidRPr="00641EA0" w:rsidRDefault="00641EA0" w:rsidP="00641EA0">
      <w:pPr>
        <w:spacing w:line="276" w:lineRule="auto"/>
        <w:jc w:val="both"/>
        <w:rPr>
          <w:rFonts w:ascii="Cambria" w:hAnsi="Cambria"/>
          <w:highlight w:val="white"/>
          <w:lang w:val="fr-FR"/>
        </w:rPr>
      </w:pPr>
      <w:r w:rsidRPr="00641EA0">
        <w:rPr>
          <w:rFonts w:ascii="Cambria" w:hAnsi="Cambria"/>
          <w:lang w:val="fr-FR"/>
        </w:rPr>
        <w:t>À partir d'études de cas ou de réflexions plus larges, nous avons l’intention de placer l'analyse de la présence des femmes dans la presse coloniale périodique dans une zone d'intersection entre les études sur le colonialisme et les études sur le genre et les femmes. En outre, et compte tenu de la rareté des études sur les femmes dans la presse coloniale de l'ancien empire portugais (</w:t>
      </w:r>
      <w:proofErr w:type="spellStart"/>
      <w:r w:rsidRPr="00641EA0">
        <w:rPr>
          <w:rFonts w:ascii="Cambria" w:hAnsi="Cambria"/>
          <w:lang w:val="fr-FR"/>
        </w:rPr>
        <w:t>Havstad</w:t>
      </w:r>
      <w:proofErr w:type="spellEnd"/>
      <w:r w:rsidRPr="00641EA0">
        <w:rPr>
          <w:rFonts w:ascii="Cambria" w:hAnsi="Cambria"/>
          <w:lang w:val="fr-FR"/>
        </w:rPr>
        <w:t xml:space="preserve"> 2016, Owen 2007), le dossier vise également à stimuler des approches comparatives avec des études sur les femmes dans la presse coloniale d'autres contextes linguistiques, comme l’anglophone, le francophone ou l’hispanique. Que la bibliographie ci-jointe constitue la première source d'inspiration ou de soutien à cet égard.</w:t>
      </w:r>
    </w:p>
    <w:p w:rsidR="00641EA0" w:rsidRPr="00641EA0" w:rsidRDefault="00641EA0" w:rsidP="00641EA0">
      <w:pPr>
        <w:spacing w:line="276" w:lineRule="auto"/>
        <w:jc w:val="both"/>
        <w:rPr>
          <w:rFonts w:ascii="Cambria" w:hAnsi="Cambria"/>
          <w:lang w:val="fr-FR"/>
        </w:rPr>
      </w:pPr>
    </w:p>
    <w:p w:rsidR="00641EA0" w:rsidRPr="00641EA0" w:rsidRDefault="00641EA0" w:rsidP="00641EA0">
      <w:pPr>
        <w:spacing w:after="240" w:line="276" w:lineRule="auto"/>
        <w:ind w:left="284" w:hanging="284"/>
        <w:rPr>
          <w:rFonts w:ascii="Cambria" w:hAnsi="Cambria"/>
          <w:b/>
          <w:lang w:val="en-GB"/>
        </w:rPr>
      </w:pPr>
      <w:proofErr w:type="spellStart"/>
      <w:r w:rsidRPr="00641EA0">
        <w:rPr>
          <w:rFonts w:ascii="Cambria" w:hAnsi="Cambria"/>
          <w:b/>
          <w:lang w:val="en-GB"/>
        </w:rPr>
        <w:t>Références</w:t>
      </w:r>
      <w:proofErr w:type="spellEnd"/>
      <w:r w:rsidRPr="00641EA0">
        <w:rPr>
          <w:rFonts w:ascii="Cambria" w:hAnsi="Cambria"/>
          <w:b/>
          <w:lang w:val="en-GB"/>
        </w:rPr>
        <w:t xml:space="preserve"> </w:t>
      </w:r>
    </w:p>
    <w:p w:rsidR="00641EA0" w:rsidRPr="00641EA0" w:rsidRDefault="00641EA0" w:rsidP="00641EA0">
      <w:pPr>
        <w:spacing w:after="60" w:line="259" w:lineRule="auto"/>
        <w:ind w:left="284" w:hanging="284"/>
        <w:rPr>
          <w:rFonts w:ascii="Cambria" w:hAnsi="Cambria"/>
          <w:lang w:val="en-GB"/>
        </w:rPr>
      </w:pPr>
      <w:proofErr w:type="spellStart"/>
      <w:r w:rsidRPr="00641EA0">
        <w:rPr>
          <w:rFonts w:ascii="Cambria" w:hAnsi="Cambria"/>
          <w:lang w:val="en-GB"/>
        </w:rPr>
        <w:t>Assmann</w:t>
      </w:r>
      <w:proofErr w:type="spellEnd"/>
      <w:r w:rsidRPr="00641EA0">
        <w:rPr>
          <w:rFonts w:ascii="Cambria" w:hAnsi="Cambria"/>
          <w:lang w:val="en-GB"/>
        </w:rPr>
        <w:t xml:space="preserve">, </w:t>
      </w:r>
      <w:proofErr w:type="spellStart"/>
      <w:r w:rsidRPr="00641EA0">
        <w:rPr>
          <w:rFonts w:ascii="Cambria" w:hAnsi="Cambria"/>
          <w:lang w:val="en-GB"/>
        </w:rPr>
        <w:t>Aleida</w:t>
      </w:r>
      <w:proofErr w:type="spellEnd"/>
      <w:r w:rsidRPr="00641EA0">
        <w:rPr>
          <w:rFonts w:ascii="Cambria" w:hAnsi="Cambria"/>
          <w:lang w:val="en-GB"/>
        </w:rPr>
        <w:t xml:space="preserve">. 2011. </w:t>
      </w:r>
      <w:r w:rsidRPr="00641EA0">
        <w:rPr>
          <w:rFonts w:ascii="Cambria" w:hAnsi="Cambria"/>
          <w:i/>
          <w:lang w:val="en-GB"/>
        </w:rPr>
        <w:t xml:space="preserve">Cultural Memory and Western Civilization: Functions, Media, Archives. </w:t>
      </w:r>
      <w:r w:rsidRPr="00641EA0">
        <w:rPr>
          <w:rFonts w:ascii="Cambria" w:hAnsi="Cambria"/>
          <w:lang w:val="en-GB"/>
        </w:rPr>
        <w:t xml:space="preserve">Cambridge: Cambridge University Press. </w:t>
      </w:r>
    </w:p>
    <w:p w:rsidR="00641EA0" w:rsidRPr="00641EA0" w:rsidRDefault="00641EA0" w:rsidP="00641EA0">
      <w:pPr>
        <w:spacing w:after="60" w:line="259" w:lineRule="auto"/>
        <w:ind w:left="284" w:hanging="284"/>
        <w:rPr>
          <w:rFonts w:ascii="Cambria" w:hAnsi="Cambria"/>
          <w:lang w:val="en-GB"/>
        </w:rPr>
      </w:pPr>
      <w:r w:rsidRPr="00641EA0">
        <w:rPr>
          <w:rFonts w:ascii="Cambria" w:hAnsi="Cambria"/>
          <w:lang w:val="en-GB"/>
        </w:rPr>
        <w:t xml:space="preserve">Burton, Antoinette M. 1990. “The white woman's burden: British feminists and the Indian woman, 1865–1915”. </w:t>
      </w:r>
      <w:r w:rsidRPr="00641EA0">
        <w:rPr>
          <w:rFonts w:ascii="Cambria" w:hAnsi="Cambria"/>
          <w:i/>
          <w:lang w:val="en-GB"/>
        </w:rPr>
        <w:t>Women's Studies International Forum</w:t>
      </w:r>
      <w:r w:rsidRPr="00641EA0">
        <w:rPr>
          <w:rFonts w:ascii="Cambria" w:hAnsi="Cambria"/>
          <w:lang w:val="en-GB"/>
        </w:rPr>
        <w:t xml:space="preserve"> (13: 4): 295-308. </w:t>
      </w:r>
    </w:p>
    <w:p w:rsidR="00641EA0" w:rsidRPr="00641EA0" w:rsidRDefault="00641EA0" w:rsidP="00641EA0">
      <w:pPr>
        <w:spacing w:after="60" w:line="259" w:lineRule="auto"/>
        <w:ind w:left="284" w:hanging="284"/>
        <w:rPr>
          <w:rFonts w:ascii="Cambria" w:hAnsi="Cambria"/>
          <w:lang w:val="en-GB"/>
        </w:rPr>
      </w:pPr>
      <w:proofErr w:type="spellStart"/>
      <w:r w:rsidRPr="00641EA0">
        <w:rPr>
          <w:rFonts w:ascii="Cambria" w:hAnsi="Cambria"/>
          <w:lang w:val="en-GB"/>
        </w:rPr>
        <w:lastRenderedPageBreak/>
        <w:t>Codell</w:t>
      </w:r>
      <w:proofErr w:type="spellEnd"/>
      <w:r w:rsidRPr="00641EA0">
        <w:rPr>
          <w:rFonts w:ascii="Cambria" w:hAnsi="Cambria"/>
          <w:lang w:val="en-GB"/>
        </w:rPr>
        <w:t>, Julie F., org. 2003</w:t>
      </w:r>
      <w:r w:rsidRPr="00641EA0">
        <w:rPr>
          <w:rFonts w:ascii="Cambria" w:hAnsi="Cambria"/>
          <w:i/>
          <w:lang w:val="en-GB"/>
        </w:rPr>
        <w:t>. Imperial Co-histories: National Identities and the British and Colonial Press</w:t>
      </w:r>
      <w:r w:rsidRPr="00641EA0">
        <w:rPr>
          <w:rFonts w:ascii="Cambria" w:hAnsi="Cambria"/>
          <w:lang w:val="en-GB"/>
        </w:rPr>
        <w:t>. Madison and Teaneck, NJ: Fairleigh Dickinson University Press; London: Associated University Press.</w:t>
      </w:r>
    </w:p>
    <w:p w:rsidR="00641EA0" w:rsidRPr="00641EA0" w:rsidRDefault="00641EA0" w:rsidP="00641EA0">
      <w:pPr>
        <w:spacing w:after="60" w:line="259" w:lineRule="auto"/>
        <w:ind w:left="284" w:hanging="284"/>
        <w:rPr>
          <w:rFonts w:ascii="Cambria" w:hAnsi="Cambria"/>
          <w:lang w:val="es-ES"/>
        </w:rPr>
      </w:pPr>
      <w:r w:rsidRPr="00641EA0">
        <w:rPr>
          <w:rFonts w:ascii="Cambria" w:hAnsi="Cambria"/>
          <w:lang w:val="en-GB"/>
        </w:rPr>
        <w:t xml:space="preserve">Brown, Megan. 2006. “A Literary Fortune: Mary Fortune's Life in the Colonial Periodical Press”. In </w:t>
      </w:r>
      <w:r w:rsidRPr="00641EA0">
        <w:rPr>
          <w:rFonts w:ascii="Cambria" w:hAnsi="Cambria"/>
          <w:i/>
          <w:lang w:val="en-GB"/>
        </w:rPr>
        <w:t xml:space="preserve">The Unsociable Sociability of Women's </w:t>
      </w:r>
      <w:proofErr w:type="spellStart"/>
      <w:r w:rsidRPr="00641EA0">
        <w:rPr>
          <w:rFonts w:ascii="Cambria" w:hAnsi="Cambria"/>
          <w:i/>
          <w:lang w:val="en-GB"/>
        </w:rPr>
        <w:t>Lifewriting</w:t>
      </w:r>
      <w:proofErr w:type="spellEnd"/>
      <w:r w:rsidRPr="00641EA0">
        <w:rPr>
          <w:rFonts w:ascii="Cambria" w:hAnsi="Cambria"/>
          <w:lang w:val="en-GB"/>
        </w:rPr>
        <w:t xml:space="preserve">, </w:t>
      </w:r>
      <w:proofErr w:type="spellStart"/>
      <w:r w:rsidRPr="00641EA0">
        <w:rPr>
          <w:rFonts w:ascii="Cambria" w:hAnsi="Cambria"/>
          <w:lang w:val="en-GB"/>
        </w:rPr>
        <w:t>organizado</w:t>
      </w:r>
      <w:proofErr w:type="spellEnd"/>
      <w:r w:rsidRPr="00641EA0">
        <w:rPr>
          <w:rFonts w:ascii="Cambria" w:hAnsi="Cambria"/>
          <w:lang w:val="en-GB"/>
        </w:rPr>
        <w:t xml:space="preserve"> </w:t>
      </w:r>
      <w:proofErr w:type="spellStart"/>
      <w:r w:rsidRPr="00641EA0">
        <w:rPr>
          <w:rFonts w:ascii="Cambria" w:hAnsi="Cambria"/>
          <w:lang w:val="en-GB"/>
        </w:rPr>
        <w:t>por</w:t>
      </w:r>
      <w:proofErr w:type="spellEnd"/>
      <w:r w:rsidRPr="00641EA0">
        <w:rPr>
          <w:rFonts w:ascii="Cambria" w:hAnsi="Cambria"/>
          <w:lang w:val="en-GB"/>
        </w:rPr>
        <w:t xml:space="preserve"> Anne </w:t>
      </w:r>
      <w:proofErr w:type="spellStart"/>
      <w:r w:rsidRPr="00641EA0">
        <w:rPr>
          <w:rFonts w:ascii="Cambria" w:hAnsi="Cambria"/>
          <w:lang w:val="en-GB"/>
        </w:rPr>
        <w:t>Collett</w:t>
      </w:r>
      <w:proofErr w:type="spellEnd"/>
      <w:r w:rsidRPr="00641EA0">
        <w:rPr>
          <w:rFonts w:ascii="Cambria" w:hAnsi="Cambria"/>
          <w:lang w:val="en-GB"/>
        </w:rPr>
        <w:t xml:space="preserve"> e Louise </w:t>
      </w:r>
      <w:proofErr w:type="spellStart"/>
      <w:r w:rsidRPr="00641EA0">
        <w:rPr>
          <w:rFonts w:ascii="Cambria" w:hAnsi="Cambria"/>
          <w:lang w:val="en-GB"/>
        </w:rPr>
        <w:t>D'Arcens</w:t>
      </w:r>
      <w:proofErr w:type="spellEnd"/>
      <w:r w:rsidRPr="00641EA0">
        <w:rPr>
          <w:rFonts w:ascii="Cambria" w:hAnsi="Cambria"/>
          <w:lang w:val="en-GB"/>
        </w:rPr>
        <w:t xml:space="preserve">, 128-147. </w:t>
      </w:r>
      <w:r w:rsidRPr="00641EA0">
        <w:rPr>
          <w:rFonts w:ascii="Cambria" w:hAnsi="Cambria"/>
          <w:lang w:val="es-ES"/>
        </w:rPr>
        <w:t xml:space="preserve">New York: </w:t>
      </w:r>
      <w:proofErr w:type="spellStart"/>
      <w:r w:rsidRPr="00641EA0">
        <w:rPr>
          <w:rFonts w:ascii="Cambria" w:hAnsi="Cambria"/>
          <w:lang w:val="es-ES"/>
        </w:rPr>
        <w:t>Palgrave</w:t>
      </w:r>
      <w:proofErr w:type="spellEnd"/>
      <w:r w:rsidRPr="00641EA0">
        <w:rPr>
          <w:rFonts w:ascii="Cambria" w:hAnsi="Cambria"/>
          <w:lang w:val="es-ES"/>
        </w:rPr>
        <w:t xml:space="preserve"> </w:t>
      </w:r>
      <w:proofErr w:type="spellStart"/>
      <w:r w:rsidRPr="00641EA0">
        <w:rPr>
          <w:rFonts w:ascii="Cambria" w:hAnsi="Cambria"/>
          <w:lang w:val="es-ES"/>
        </w:rPr>
        <w:t>Macmillan</w:t>
      </w:r>
      <w:proofErr w:type="spellEnd"/>
      <w:r w:rsidRPr="00641EA0">
        <w:rPr>
          <w:rFonts w:ascii="Cambria" w:hAnsi="Cambria"/>
          <w:lang w:val="es-ES"/>
        </w:rPr>
        <w:t xml:space="preserve">. </w:t>
      </w:r>
    </w:p>
    <w:p w:rsidR="00641EA0" w:rsidRPr="00641EA0" w:rsidRDefault="00641EA0" w:rsidP="00641EA0">
      <w:pPr>
        <w:spacing w:after="60" w:line="259" w:lineRule="auto"/>
        <w:ind w:left="284" w:hanging="284"/>
        <w:rPr>
          <w:rFonts w:ascii="Cambria" w:hAnsi="Cambria"/>
          <w:lang w:val="en-US"/>
        </w:rPr>
      </w:pPr>
      <w:r w:rsidRPr="00641EA0">
        <w:rPr>
          <w:rFonts w:ascii="Cambria" w:hAnsi="Cambria"/>
          <w:lang w:val="es-ES"/>
        </w:rPr>
        <w:t xml:space="preserve">García López, Ana Belén. 2011. “La participación de las mujeres en la independencia hispanoamericana a través de los medios de comunicación”. </w:t>
      </w:r>
      <w:proofErr w:type="spellStart"/>
      <w:r w:rsidRPr="00641EA0">
        <w:rPr>
          <w:rFonts w:ascii="Cambria" w:hAnsi="Cambria"/>
          <w:i/>
          <w:lang w:val="en-US"/>
        </w:rPr>
        <w:t>Historia</w:t>
      </w:r>
      <w:proofErr w:type="spellEnd"/>
      <w:r w:rsidRPr="00641EA0">
        <w:rPr>
          <w:rFonts w:ascii="Cambria" w:hAnsi="Cambria"/>
          <w:i/>
          <w:lang w:val="en-US"/>
        </w:rPr>
        <w:t xml:space="preserve"> y </w:t>
      </w:r>
      <w:proofErr w:type="spellStart"/>
      <w:r w:rsidRPr="00641EA0">
        <w:rPr>
          <w:rFonts w:ascii="Cambria" w:hAnsi="Cambria"/>
          <w:i/>
          <w:lang w:val="en-US"/>
        </w:rPr>
        <w:t>Comunicación</w:t>
      </w:r>
      <w:proofErr w:type="spellEnd"/>
      <w:r w:rsidRPr="00641EA0">
        <w:rPr>
          <w:rFonts w:ascii="Cambria" w:hAnsi="Cambria"/>
          <w:i/>
          <w:lang w:val="en-US"/>
        </w:rPr>
        <w:t xml:space="preserve"> Social</w:t>
      </w:r>
      <w:r w:rsidRPr="00641EA0">
        <w:rPr>
          <w:rFonts w:ascii="Cambria" w:hAnsi="Cambria"/>
          <w:lang w:val="en-US"/>
        </w:rPr>
        <w:t xml:space="preserve"> (16): 33-49. </w:t>
      </w:r>
    </w:p>
    <w:p w:rsidR="00641EA0" w:rsidRPr="00641EA0" w:rsidRDefault="00641EA0" w:rsidP="00641EA0">
      <w:pPr>
        <w:spacing w:after="60" w:line="259" w:lineRule="auto"/>
        <w:ind w:left="284" w:hanging="284"/>
        <w:rPr>
          <w:rFonts w:ascii="Cambria" w:hAnsi="Cambria"/>
          <w:color w:val="000000"/>
          <w:u w:val="single"/>
          <w:lang w:val="en-GB"/>
        </w:rPr>
      </w:pPr>
      <w:proofErr w:type="spellStart"/>
      <w:r w:rsidRPr="00641EA0">
        <w:rPr>
          <w:rFonts w:ascii="Cambria" w:hAnsi="Cambria"/>
          <w:lang w:val="en-US"/>
        </w:rPr>
        <w:t>Havstad</w:t>
      </w:r>
      <w:proofErr w:type="spellEnd"/>
      <w:r w:rsidRPr="00641EA0">
        <w:rPr>
          <w:rFonts w:ascii="Cambria" w:hAnsi="Cambria"/>
          <w:lang w:val="en-US"/>
        </w:rPr>
        <w:t xml:space="preserve">, Lilly. 2016. </w:t>
      </w:r>
      <w:r w:rsidRPr="00641EA0">
        <w:rPr>
          <w:rFonts w:ascii="Cambria" w:hAnsi="Cambria"/>
          <w:lang w:val="en-GB"/>
        </w:rPr>
        <w:t xml:space="preserve">“Multiracial Women and the African Press in Post-World War II </w:t>
      </w:r>
      <w:proofErr w:type="spellStart"/>
      <w:r w:rsidRPr="00641EA0">
        <w:rPr>
          <w:rFonts w:ascii="Cambria" w:hAnsi="Cambria"/>
          <w:lang w:val="en-GB"/>
        </w:rPr>
        <w:t>Lourenço</w:t>
      </w:r>
      <w:proofErr w:type="spellEnd"/>
      <w:r w:rsidRPr="00641EA0">
        <w:rPr>
          <w:rFonts w:ascii="Cambria" w:hAnsi="Cambria"/>
          <w:lang w:val="en-GB"/>
        </w:rPr>
        <w:t xml:space="preserve"> Marques, Mozambique”, </w:t>
      </w:r>
      <w:r w:rsidRPr="00641EA0">
        <w:rPr>
          <w:rFonts w:ascii="Cambria" w:hAnsi="Cambria"/>
          <w:i/>
          <w:lang w:val="en-GB"/>
        </w:rPr>
        <w:t>South African Historical Journal</w:t>
      </w:r>
      <w:r w:rsidRPr="00641EA0">
        <w:rPr>
          <w:rFonts w:ascii="Cambria" w:hAnsi="Cambria"/>
          <w:lang w:val="en-GB"/>
        </w:rPr>
        <w:t xml:space="preserve"> (68:3): 216, 390-414. </w:t>
      </w:r>
    </w:p>
    <w:p w:rsidR="00641EA0" w:rsidRPr="00641EA0" w:rsidRDefault="00641EA0" w:rsidP="00641EA0">
      <w:pPr>
        <w:spacing w:after="60" w:line="259" w:lineRule="auto"/>
        <w:ind w:left="284" w:hanging="284"/>
        <w:rPr>
          <w:rFonts w:ascii="Cambria" w:hAnsi="Cambria"/>
          <w:color w:val="000000"/>
          <w:u w:val="single"/>
          <w:lang w:val="en-GB"/>
        </w:rPr>
      </w:pPr>
      <w:proofErr w:type="spellStart"/>
      <w:r w:rsidRPr="00641EA0">
        <w:rPr>
          <w:rFonts w:ascii="Cambria" w:hAnsi="Cambria"/>
          <w:lang w:val="en-GB"/>
        </w:rPr>
        <w:t>Helgesson</w:t>
      </w:r>
      <w:proofErr w:type="spellEnd"/>
      <w:r w:rsidRPr="00641EA0">
        <w:rPr>
          <w:rFonts w:ascii="Cambria" w:hAnsi="Cambria"/>
          <w:lang w:val="en-GB"/>
        </w:rPr>
        <w:t xml:space="preserve">, Stefan. 2011. </w:t>
      </w:r>
      <w:r w:rsidRPr="00641EA0">
        <w:rPr>
          <w:rFonts w:ascii="Cambria" w:hAnsi="Cambria"/>
          <w:i/>
          <w:lang w:val="en-GB"/>
        </w:rPr>
        <w:t>Transnationalism in Southern African Literature: Modernists, Realists, and the Inequality of Print Culture</w:t>
      </w:r>
      <w:r w:rsidRPr="00641EA0">
        <w:rPr>
          <w:rFonts w:ascii="Cambria" w:hAnsi="Cambria"/>
          <w:lang w:val="en-GB"/>
        </w:rPr>
        <w:t>. New York: Routledge.</w:t>
      </w:r>
    </w:p>
    <w:p w:rsidR="00641EA0" w:rsidRPr="00641EA0" w:rsidRDefault="00641EA0" w:rsidP="00641EA0">
      <w:pPr>
        <w:spacing w:after="60" w:line="259" w:lineRule="auto"/>
        <w:ind w:left="284" w:hanging="284"/>
        <w:rPr>
          <w:rFonts w:ascii="Cambria" w:hAnsi="Cambria"/>
          <w:lang w:val="en-GB"/>
        </w:rPr>
      </w:pPr>
      <w:proofErr w:type="spellStart"/>
      <w:r w:rsidRPr="00641EA0">
        <w:rPr>
          <w:rFonts w:ascii="Cambria" w:hAnsi="Cambria"/>
          <w:lang w:val="en-GB"/>
        </w:rPr>
        <w:t>Holdridge</w:t>
      </w:r>
      <w:proofErr w:type="spellEnd"/>
      <w:r w:rsidRPr="00641EA0">
        <w:rPr>
          <w:rFonts w:ascii="Cambria" w:hAnsi="Cambria"/>
          <w:lang w:val="en-GB"/>
        </w:rPr>
        <w:t xml:space="preserve">, Christopher. 2010. “Circulating the </w:t>
      </w:r>
      <w:r w:rsidRPr="00641EA0">
        <w:rPr>
          <w:rFonts w:ascii="Cambria" w:hAnsi="Cambria"/>
          <w:i/>
          <w:lang w:val="en-GB"/>
        </w:rPr>
        <w:t>African Journal</w:t>
      </w:r>
      <w:r w:rsidRPr="00641EA0">
        <w:rPr>
          <w:rFonts w:ascii="Cambria" w:hAnsi="Cambria"/>
          <w:lang w:val="en-GB"/>
        </w:rPr>
        <w:t xml:space="preserve">: The Colonial Press and Trans-Imperial Britishness in the Mid Nineteenth-Century Cape”. </w:t>
      </w:r>
      <w:r w:rsidRPr="00641EA0">
        <w:rPr>
          <w:rFonts w:ascii="Cambria" w:hAnsi="Cambria"/>
          <w:i/>
          <w:lang w:val="en-GB"/>
        </w:rPr>
        <w:t>South African Historical Journal</w:t>
      </w:r>
      <w:r w:rsidRPr="00641EA0">
        <w:rPr>
          <w:rFonts w:ascii="Cambria" w:hAnsi="Cambria"/>
          <w:lang w:val="en-GB"/>
        </w:rPr>
        <w:t xml:space="preserve"> (62:3): 487-513.</w:t>
      </w:r>
    </w:p>
    <w:p w:rsidR="00641EA0" w:rsidRPr="00641EA0" w:rsidRDefault="00641EA0" w:rsidP="00641EA0">
      <w:pPr>
        <w:spacing w:after="60" w:line="259" w:lineRule="auto"/>
        <w:ind w:left="284" w:hanging="284"/>
        <w:rPr>
          <w:rFonts w:ascii="Cambria" w:hAnsi="Cambria"/>
          <w:lang w:val="en-GB"/>
        </w:rPr>
      </w:pPr>
      <w:r w:rsidRPr="00641EA0">
        <w:rPr>
          <w:rFonts w:ascii="Cambria" w:hAnsi="Cambria"/>
          <w:lang w:val="en-GB"/>
        </w:rPr>
        <w:t xml:space="preserve">Levine, Philippa, org. 2004. </w:t>
      </w:r>
      <w:r w:rsidRPr="00641EA0">
        <w:rPr>
          <w:rFonts w:ascii="Cambria" w:hAnsi="Cambria"/>
          <w:i/>
          <w:lang w:val="en-GB"/>
        </w:rPr>
        <w:t>Gender and Empire</w:t>
      </w:r>
      <w:r w:rsidRPr="00641EA0">
        <w:rPr>
          <w:rFonts w:ascii="Cambria" w:hAnsi="Cambria"/>
          <w:lang w:val="en-GB"/>
        </w:rPr>
        <w:t>. Oxford: Oxford University Press.</w:t>
      </w:r>
    </w:p>
    <w:p w:rsidR="00641EA0" w:rsidRPr="00641EA0" w:rsidRDefault="00641EA0" w:rsidP="00641EA0">
      <w:pPr>
        <w:spacing w:after="60" w:line="259" w:lineRule="auto"/>
        <w:ind w:left="284" w:hanging="284"/>
        <w:rPr>
          <w:rFonts w:ascii="Cambria" w:hAnsi="Cambria"/>
          <w:highlight w:val="white"/>
        </w:rPr>
      </w:pPr>
      <w:proofErr w:type="spellStart"/>
      <w:r w:rsidRPr="00641EA0">
        <w:rPr>
          <w:rFonts w:ascii="Cambria" w:hAnsi="Cambria"/>
          <w:highlight w:val="white"/>
          <w:lang w:val="en-GB"/>
        </w:rPr>
        <w:t>Mendonça</w:t>
      </w:r>
      <w:proofErr w:type="spellEnd"/>
      <w:r w:rsidRPr="00641EA0">
        <w:rPr>
          <w:rFonts w:ascii="Cambria" w:hAnsi="Cambria"/>
          <w:highlight w:val="white"/>
          <w:lang w:val="en-GB"/>
        </w:rPr>
        <w:t xml:space="preserve">, </w:t>
      </w:r>
      <w:proofErr w:type="spellStart"/>
      <w:r w:rsidRPr="00641EA0">
        <w:rPr>
          <w:rFonts w:ascii="Cambria" w:hAnsi="Cambria"/>
          <w:highlight w:val="white"/>
          <w:lang w:val="en-GB"/>
        </w:rPr>
        <w:t>Fátima</w:t>
      </w:r>
      <w:proofErr w:type="spellEnd"/>
      <w:r w:rsidRPr="00641EA0">
        <w:rPr>
          <w:rFonts w:ascii="Cambria" w:hAnsi="Cambria"/>
          <w:highlight w:val="white"/>
          <w:lang w:val="en-GB"/>
        </w:rPr>
        <w:t xml:space="preserve">. </w:t>
      </w:r>
      <w:r w:rsidRPr="00641EA0">
        <w:rPr>
          <w:rFonts w:ascii="Cambria" w:hAnsi="Cambria"/>
          <w:highlight w:val="white"/>
        </w:rPr>
        <w:t xml:space="preserve">1989. </w:t>
      </w:r>
      <w:r w:rsidRPr="00641EA0">
        <w:rPr>
          <w:rFonts w:ascii="Cambria" w:hAnsi="Cambria"/>
          <w:i/>
          <w:highlight w:val="white"/>
        </w:rPr>
        <w:t>Literatura moçambicana: a história e as escritas</w:t>
      </w:r>
      <w:r w:rsidRPr="00641EA0">
        <w:rPr>
          <w:rFonts w:ascii="Cambria" w:hAnsi="Cambria"/>
          <w:highlight w:val="white"/>
        </w:rPr>
        <w:t xml:space="preserve">. Maputo: Universidade Eduardo </w:t>
      </w:r>
      <w:proofErr w:type="spellStart"/>
      <w:r w:rsidRPr="00641EA0">
        <w:rPr>
          <w:rFonts w:ascii="Cambria" w:hAnsi="Cambria"/>
          <w:highlight w:val="white"/>
        </w:rPr>
        <w:t>Mondlane</w:t>
      </w:r>
      <w:proofErr w:type="spellEnd"/>
      <w:r w:rsidRPr="00641EA0">
        <w:rPr>
          <w:rFonts w:ascii="Cambria" w:hAnsi="Cambria"/>
          <w:highlight w:val="white"/>
        </w:rPr>
        <w:t>.</w:t>
      </w:r>
    </w:p>
    <w:p w:rsidR="00641EA0" w:rsidRPr="00641EA0" w:rsidRDefault="00641EA0" w:rsidP="00641EA0">
      <w:pPr>
        <w:spacing w:after="60" w:line="259" w:lineRule="auto"/>
        <w:ind w:left="284" w:hanging="284"/>
        <w:rPr>
          <w:rFonts w:ascii="Cambria" w:hAnsi="Cambria"/>
          <w:lang w:val="en-GB"/>
        </w:rPr>
      </w:pPr>
      <w:proofErr w:type="spellStart"/>
      <w:r w:rsidRPr="00641EA0">
        <w:rPr>
          <w:rFonts w:ascii="Cambria" w:hAnsi="Cambria"/>
        </w:rPr>
        <w:t>Meléndez</w:t>
      </w:r>
      <w:proofErr w:type="spellEnd"/>
      <w:r w:rsidRPr="00641EA0">
        <w:rPr>
          <w:rFonts w:ascii="Cambria" w:hAnsi="Cambria"/>
        </w:rPr>
        <w:t xml:space="preserve">, </w:t>
      </w:r>
      <w:proofErr w:type="spellStart"/>
      <w:r w:rsidRPr="00641EA0">
        <w:rPr>
          <w:rFonts w:ascii="Cambria" w:hAnsi="Cambria"/>
        </w:rPr>
        <w:t>Mariselle</w:t>
      </w:r>
      <w:proofErr w:type="spellEnd"/>
      <w:r w:rsidRPr="00641EA0">
        <w:rPr>
          <w:rFonts w:ascii="Cambria" w:hAnsi="Cambria"/>
        </w:rPr>
        <w:t>. 2002. “</w:t>
      </w:r>
      <w:proofErr w:type="spellStart"/>
      <w:r w:rsidRPr="00641EA0">
        <w:rPr>
          <w:rFonts w:ascii="Cambria" w:hAnsi="Cambria"/>
        </w:rPr>
        <w:t>Representing</w:t>
      </w:r>
      <w:proofErr w:type="spellEnd"/>
      <w:r w:rsidRPr="00641EA0">
        <w:rPr>
          <w:rFonts w:ascii="Cambria" w:hAnsi="Cambria"/>
        </w:rPr>
        <w:t xml:space="preserve"> </w:t>
      </w:r>
      <w:proofErr w:type="spellStart"/>
      <w:r w:rsidRPr="00641EA0">
        <w:rPr>
          <w:rFonts w:ascii="Cambria" w:hAnsi="Cambria"/>
        </w:rPr>
        <w:t>Gender</w:t>
      </w:r>
      <w:proofErr w:type="spellEnd"/>
      <w:r w:rsidRPr="00641EA0">
        <w:rPr>
          <w:rFonts w:ascii="Cambria" w:hAnsi="Cambria"/>
        </w:rPr>
        <w:t xml:space="preserve">, </w:t>
      </w:r>
      <w:proofErr w:type="spellStart"/>
      <w:r w:rsidRPr="00641EA0">
        <w:rPr>
          <w:rFonts w:ascii="Cambria" w:hAnsi="Cambria"/>
        </w:rPr>
        <w:t>Deviance</w:t>
      </w:r>
      <w:proofErr w:type="spellEnd"/>
      <w:r w:rsidRPr="00641EA0">
        <w:rPr>
          <w:rFonts w:ascii="Cambria" w:hAnsi="Cambria"/>
        </w:rPr>
        <w:t xml:space="preserve">, </w:t>
      </w:r>
      <w:proofErr w:type="spellStart"/>
      <w:r w:rsidRPr="00641EA0">
        <w:rPr>
          <w:rFonts w:ascii="Cambria" w:hAnsi="Cambria"/>
        </w:rPr>
        <w:t>and</w:t>
      </w:r>
      <w:proofErr w:type="spellEnd"/>
      <w:r w:rsidRPr="00641EA0">
        <w:rPr>
          <w:rFonts w:ascii="Cambria" w:hAnsi="Cambria"/>
        </w:rPr>
        <w:t xml:space="preserve"> </w:t>
      </w:r>
      <w:proofErr w:type="spellStart"/>
      <w:r w:rsidRPr="00641EA0">
        <w:rPr>
          <w:rFonts w:ascii="Cambria" w:hAnsi="Cambria"/>
        </w:rPr>
        <w:t>Heterogeneity</w:t>
      </w:r>
      <w:proofErr w:type="spellEnd"/>
      <w:r w:rsidRPr="00641EA0">
        <w:rPr>
          <w:rFonts w:ascii="Cambria" w:hAnsi="Cambria"/>
        </w:rPr>
        <w:t xml:space="preserve"> in </w:t>
      </w:r>
      <w:proofErr w:type="spellStart"/>
      <w:r w:rsidRPr="00641EA0">
        <w:rPr>
          <w:rFonts w:ascii="Cambria" w:hAnsi="Cambria"/>
        </w:rPr>
        <w:t>the</w:t>
      </w:r>
      <w:proofErr w:type="spellEnd"/>
      <w:r w:rsidRPr="00641EA0">
        <w:rPr>
          <w:rFonts w:ascii="Cambria" w:hAnsi="Cambria"/>
        </w:rPr>
        <w:t xml:space="preserve"> </w:t>
      </w:r>
      <w:proofErr w:type="spellStart"/>
      <w:r w:rsidRPr="00641EA0">
        <w:rPr>
          <w:rFonts w:ascii="Cambria" w:hAnsi="Cambria"/>
        </w:rPr>
        <w:t>Eighteenth‐Century</w:t>
      </w:r>
      <w:proofErr w:type="spellEnd"/>
      <w:r w:rsidRPr="00641EA0">
        <w:rPr>
          <w:rFonts w:ascii="Cambria" w:hAnsi="Cambria"/>
        </w:rPr>
        <w:t xml:space="preserve"> </w:t>
      </w:r>
      <w:proofErr w:type="spellStart"/>
      <w:r w:rsidRPr="00641EA0">
        <w:rPr>
          <w:rFonts w:ascii="Cambria" w:hAnsi="Cambria"/>
        </w:rPr>
        <w:t>Peruvian</w:t>
      </w:r>
      <w:proofErr w:type="spellEnd"/>
      <w:r w:rsidRPr="00641EA0">
        <w:rPr>
          <w:rFonts w:ascii="Cambria" w:hAnsi="Cambria"/>
        </w:rPr>
        <w:t xml:space="preserve"> </w:t>
      </w:r>
      <w:proofErr w:type="spellStart"/>
      <w:r w:rsidRPr="00641EA0">
        <w:rPr>
          <w:rFonts w:ascii="Cambria" w:hAnsi="Cambria"/>
        </w:rPr>
        <w:t>Newspaper</w:t>
      </w:r>
      <w:proofErr w:type="spellEnd"/>
      <w:r w:rsidRPr="00641EA0">
        <w:rPr>
          <w:rFonts w:ascii="Cambria" w:hAnsi="Cambria"/>
        </w:rPr>
        <w:t xml:space="preserve"> </w:t>
      </w:r>
      <w:proofErr w:type="spellStart"/>
      <w:r w:rsidRPr="00641EA0">
        <w:rPr>
          <w:rFonts w:ascii="Cambria" w:hAnsi="Cambria"/>
          <w:i/>
        </w:rPr>
        <w:t>Mercurio</w:t>
      </w:r>
      <w:proofErr w:type="spellEnd"/>
      <w:r w:rsidRPr="00641EA0">
        <w:rPr>
          <w:rFonts w:ascii="Cambria" w:hAnsi="Cambria"/>
          <w:i/>
        </w:rPr>
        <w:t xml:space="preserve"> Peruano</w:t>
      </w:r>
      <w:r w:rsidRPr="00641EA0">
        <w:rPr>
          <w:rFonts w:ascii="Cambria" w:hAnsi="Cambria"/>
        </w:rPr>
        <w:t xml:space="preserve">”, In </w:t>
      </w:r>
      <w:proofErr w:type="spellStart"/>
      <w:r w:rsidRPr="00641EA0">
        <w:rPr>
          <w:rFonts w:ascii="Cambria" w:hAnsi="Cambria"/>
          <w:i/>
        </w:rPr>
        <w:t>Colonialism</w:t>
      </w:r>
      <w:proofErr w:type="spellEnd"/>
      <w:r w:rsidRPr="00641EA0">
        <w:rPr>
          <w:rFonts w:ascii="Cambria" w:hAnsi="Cambria"/>
          <w:i/>
        </w:rPr>
        <w:t xml:space="preserve"> </w:t>
      </w:r>
      <w:proofErr w:type="spellStart"/>
      <w:r w:rsidRPr="00641EA0">
        <w:rPr>
          <w:rFonts w:ascii="Cambria" w:hAnsi="Cambria"/>
          <w:i/>
        </w:rPr>
        <w:t>Past</w:t>
      </w:r>
      <w:proofErr w:type="spellEnd"/>
      <w:r w:rsidRPr="00641EA0">
        <w:rPr>
          <w:rFonts w:ascii="Cambria" w:hAnsi="Cambria"/>
          <w:i/>
        </w:rPr>
        <w:t xml:space="preserve"> </w:t>
      </w:r>
      <w:proofErr w:type="spellStart"/>
      <w:r w:rsidRPr="00641EA0">
        <w:rPr>
          <w:rFonts w:ascii="Cambria" w:hAnsi="Cambria"/>
          <w:i/>
        </w:rPr>
        <w:t>and</w:t>
      </w:r>
      <w:proofErr w:type="spellEnd"/>
      <w:r w:rsidRPr="00641EA0">
        <w:rPr>
          <w:rFonts w:ascii="Cambria" w:hAnsi="Cambria"/>
          <w:i/>
        </w:rPr>
        <w:t xml:space="preserve"> </w:t>
      </w:r>
      <w:proofErr w:type="spellStart"/>
      <w:r w:rsidRPr="00641EA0">
        <w:rPr>
          <w:rFonts w:ascii="Cambria" w:hAnsi="Cambria"/>
          <w:i/>
        </w:rPr>
        <w:t>Present</w:t>
      </w:r>
      <w:proofErr w:type="spellEnd"/>
      <w:r w:rsidRPr="00641EA0">
        <w:rPr>
          <w:rFonts w:ascii="Cambria" w:hAnsi="Cambria"/>
          <w:i/>
        </w:rPr>
        <w:t xml:space="preserve">: </w:t>
      </w:r>
      <w:proofErr w:type="spellStart"/>
      <w:r w:rsidRPr="00641EA0">
        <w:rPr>
          <w:rFonts w:ascii="Cambria" w:hAnsi="Cambria"/>
          <w:i/>
        </w:rPr>
        <w:t>The</w:t>
      </w:r>
      <w:proofErr w:type="spellEnd"/>
      <w:r w:rsidRPr="00641EA0">
        <w:rPr>
          <w:rFonts w:ascii="Cambria" w:hAnsi="Cambria"/>
          <w:i/>
        </w:rPr>
        <w:t xml:space="preserve"> </w:t>
      </w:r>
      <w:proofErr w:type="spellStart"/>
      <w:r w:rsidRPr="00641EA0">
        <w:rPr>
          <w:rFonts w:ascii="Cambria" w:hAnsi="Cambria"/>
          <w:i/>
        </w:rPr>
        <w:t>Politics</w:t>
      </w:r>
      <w:proofErr w:type="spellEnd"/>
      <w:r w:rsidRPr="00641EA0">
        <w:rPr>
          <w:rFonts w:ascii="Cambria" w:hAnsi="Cambria"/>
          <w:i/>
        </w:rPr>
        <w:t xml:space="preserve"> </w:t>
      </w:r>
      <w:proofErr w:type="spellStart"/>
      <w:r w:rsidRPr="00641EA0">
        <w:rPr>
          <w:rFonts w:ascii="Cambria" w:hAnsi="Cambria"/>
          <w:i/>
        </w:rPr>
        <w:t>of</w:t>
      </w:r>
      <w:proofErr w:type="spellEnd"/>
      <w:r w:rsidRPr="00641EA0">
        <w:rPr>
          <w:rFonts w:ascii="Cambria" w:hAnsi="Cambria"/>
          <w:i/>
        </w:rPr>
        <w:t xml:space="preserve"> Reading </w:t>
      </w:r>
      <w:proofErr w:type="spellStart"/>
      <w:r w:rsidRPr="00641EA0">
        <w:rPr>
          <w:rFonts w:ascii="Cambria" w:hAnsi="Cambria"/>
          <w:i/>
        </w:rPr>
        <w:t>and</w:t>
      </w:r>
      <w:proofErr w:type="spellEnd"/>
      <w:r w:rsidRPr="00641EA0">
        <w:rPr>
          <w:rFonts w:ascii="Cambria" w:hAnsi="Cambria"/>
          <w:i/>
        </w:rPr>
        <w:t xml:space="preserve"> </w:t>
      </w:r>
      <w:proofErr w:type="spellStart"/>
      <w:r w:rsidRPr="00641EA0">
        <w:rPr>
          <w:rFonts w:ascii="Cambria" w:hAnsi="Cambria"/>
          <w:i/>
        </w:rPr>
        <w:t>Writing</w:t>
      </w:r>
      <w:proofErr w:type="spellEnd"/>
      <w:r w:rsidRPr="00641EA0">
        <w:rPr>
          <w:rFonts w:ascii="Cambria" w:hAnsi="Cambria"/>
          <w:i/>
        </w:rPr>
        <w:t xml:space="preserve"> </w:t>
      </w:r>
      <w:proofErr w:type="spellStart"/>
      <w:r w:rsidRPr="00641EA0">
        <w:rPr>
          <w:rFonts w:ascii="Cambria" w:hAnsi="Cambria"/>
          <w:i/>
        </w:rPr>
        <w:t>about</w:t>
      </w:r>
      <w:proofErr w:type="spellEnd"/>
      <w:r w:rsidRPr="00641EA0">
        <w:rPr>
          <w:rFonts w:ascii="Cambria" w:hAnsi="Cambria"/>
          <w:i/>
        </w:rPr>
        <w:t xml:space="preserve"> Colonial </w:t>
      </w:r>
      <w:proofErr w:type="spellStart"/>
      <w:r w:rsidRPr="00641EA0">
        <w:rPr>
          <w:rFonts w:ascii="Cambria" w:hAnsi="Cambria"/>
          <w:i/>
        </w:rPr>
        <w:t>Latin</w:t>
      </w:r>
      <w:proofErr w:type="spellEnd"/>
      <w:r w:rsidRPr="00641EA0">
        <w:rPr>
          <w:rFonts w:ascii="Cambria" w:hAnsi="Cambria"/>
          <w:i/>
        </w:rPr>
        <w:t xml:space="preserve"> </w:t>
      </w:r>
      <w:proofErr w:type="spellStart"/>
      <w:r w:rsidRPr="00641EA0">
        <w:rPr>
          <w:rFonts w:ascii="Cambria" w:hAnsi="Cambria"/>
          <w:i/>
        </w:rPr>
        <w:t>American</w:t>
      </w:r>
      <w:proofErr w:type="spellEnd"/>
      <w:r w:rsidRPr="00641EA0">
        <w:rPr>
          <w:rFonts w:ascii="Cambria" w:hAnsi="Cambria"/>
          <w:i/>
        </w:rPr>
        <w:t xml:space="preserve"> </w:t>
      </w:r>
      <w:proofErr w:type="spellStart"/>
      <w:r w:rsidRPr="00641EA0">
        <w:rPr>
          <w:rFonts w:ascii="Cambria" w:hAnsi="Cambria"/>
          <w:i/>
        </w:rPr>
        <w:t>Texts</w:t>
      </w:r>
      <w:proofErr w:type="spellEnd"/>
      <w:r w:rsidRPr="00641EA0">
        <w:rPr>
          <w:rFonts w:ascii="Cambria" w:hAnsi="Cambria"/>
          <w:i/>
        </w:rPr>
        <w:t xml:space="preserve"> </w:t>
      </w:r>
      <w:proofErr w:type="spellStart"/>
      <w:r w:rsidRPr="00641EA0">
        <w:rPr>
          <w:rFonts w:ascii="Cambria" w:hAnsi="Cambria"/>
          <w:i/>
        </w:rPr>
        <w:t>Today</w:t>
      </w:r>
      <w:proofErr w:type="spellEnd"/>
      <w:r w:rsidRPr="00641EA0">
        <w:rPr>
          <w:rFonts w:ascii="Cambria" w:hAnsi="Cambria"/>
        </w:rPr>
        <w:t xml:space="preserve">, organizado por </w:t>
      </w:r>
      <w:proofErr w:type="spellStart"/>
      <w:r w:rsidRPr="00641EA0">
        <w:rPr>
          <w:rFonts w:ascii="Cambria" w:hAnsi="Cambria"/>
        </w:rPr>
        <w:t>Alvaro</w:t>
      </w:r>
      <w:proofErr w:type="spellEnd"/>
      <w:r w:rsidRPr="00641EA0">
        <w:rPr>
          <w:rFonts w:ascii="Cambria" w:hAnsi="Cambria"/>
        </w:rPr>
        <w:t xml:space="preserve"> Félix </w:t>
      </w:r>
      <w:proofErr w:type="spellStart"/>
      <w:r w:rsidRPr="00641EA0">
        <w:rPr>
          <w:rFonts w:ascii="Cambria" w:hAnsi="Cambria"/>
        </w:rPr>
        <w:t>Bolaños</w:t>
      </w:r>
      <w:proofErr w:type="spellEnd"/>
      <w:r w:rsidRPr="00641EA0">
        <w:rPr>
          <w:rFonts w:ascii="Cambria" w:hAnsi="Cambria"/>
        </w:rPr>
        <w:t xml:space="preserve"> e Gustavo </w:t>
      </w:r>
      <w:proofErr w:type="spellStart"/>
      <w:r w:rsidRPr="00641EA0">
        <w:rPr>
          <w:rFonts w:ascii="Cambria" w:hAnsi="Cambria"/>
        </w:rPr>
        <w:t>Verdesio</w:t>
      </w:r>
      <w:proofErr w:type="spellEnd"/>
      <w:r w:rsidRPr="00641EA0">
        <w:rPr>
          <w:rFonts w:ascii="Cambria" w:hAnsi="Cambria"/>
        </w:rPr>
        <w:t xml:space="preserve">, 175‐195. </w:t>
      </w:r>
      <w:r w:rsidRPr="00641EA0">
        <w:rPr>
          <w:rFonts w:ascii="Cambria" w:hAnsi="Cambria"/>
          <w:lang w:val="en-GB"/>
        </w:rPr>
        <w:t>New York: SUNY University Press, 2002.</w:t>
      </w:r>
    </w:p>
    <w:p w:rsidR="00641EA0" w:rsidRPr="00641EA0" w:rsidRDefault="00641EA0" w:rsidP="00641EA0">
      <w:pPr>
        <w:spacing w:after="60" w:line="259" w:lineRule="auto"/>
        <w:ind w:left="284" w:hanging="284"/>
        <w:rPr>
          <w:rFonts w:ascii="Cambria" w:hAnsi="Cambria"/>
          <w:lang w:val="en-GB"/>
        </w:rPr>
      </w:pPr>
      <w:proofErr w:type="spellStart"/>
      <w:r w:rsidRPr="00641EA0">
        <w:rPr>
          <w:rFonts w:ascii="Cambria" w:hAnsi="Cambria"/>
          <w:lang w:val="en-GB"/>
        </w:rPr>
        <w:t>Midgley</w:t>
      </w:r>
      <w:proofErr w:type="spellEnd"/>
      <w:r w:rsidRPr="00641EA0">
        <w:rPr>
          <w:rFonts w:ascii="Cambria" w:hAnsi="Cambria"/>
          <w:lang w:val="en-GB"/>
        </w:rPr>
        <w:t xml:space="preserve">, Claire, org. 1998. </w:t>
      </w:r>
      <w:r w:rsidRPr="00641EA0">
        <w:rPr>
          <w:rFonts w:ascii="Cambria" w:hAnsi="Cambria"/>
          <w:i/>
          <w:lang w:val="en-GB"/>
        </w:rPr>
        <w:t>Gender and Imperialism</w:t>
      </w:r>
      <w:r w:rsidRPr="00641EA0">
        <w:rPr>
          <w:rFonts w:ascii="Cambria" w:hAnsi="Cambria"/>
          <w:lang w:val="en-GB"/>
        </w:rPr>
        <w:t>. Manchester: Manchester University Press.</w:t>
      </w:r>
    </w:p>
    <w:p w:rsidR="00641EA0" w:rsidRPr="00641EA0" w:rsidRDefault="00641EA0" w:rsidP="00641EA0">
      <w:pPr>
        <w:spacing w:after="60" w:line="259" w:lineRule="auto"/>
        <w:ind w:left="284" w:hanging="284"/>
        <w:rPr>
          <w:rFonts w:ascii="Cambria" w:hAnsi="Cambria"/>
          <w:lang w:val="es-ES"/>
        </w:rPr>
      </w:pPr>
      <w:r w:rsidRPr="00641EA0">
        <w:rPr>
          <w:rFonts w:ascii="Cambria" w:hAnsi="Cambria"/>
          <w:lang w:val="en-GB"/>
        </w:rPr>
        <w:t xml:space="preserve">Owen, Hilary. 2007. </w:t>
      </w:r>
      <w:r w:rsidRPr="00641EA0">
        <w:rPr>
          <w:rFonts w:ascii="Cambria" w:hAnsi="Cambria"/>
          <w:i/>
          <w:lang w:val="en-GB"/>
        </w:rPr>
        <w:t>Mother Africa, Father Marx: Women’s Writing of Mozambique 1948–2002</w:t>
      </w:r>
      <w:r w:rsidRPr="00641EA0">
        <w:rPr>
          <w:rFonts w:ascii="Cambria" w:hAnsi="Cambria"/>
          <w:lang w:val="en-GB"/>
        </w:rPr>
        <w:t xml:space="preserve">. </w:t>
      </w:r>
      <w:proofErr w:type="spellStart"/>
      <w:r w:rsidRPr="00641EA0">
        <w:rPr>
          <w:rFonts w:ascii="Cambria" w:hAnsi="Cambria"/>
          <w:lang w:val="es-ES"/>
        </w:rPr>
        <w:t>Lewisburg</w:t>
      </w:r>
      <w:proofErr w:type="spellEnd"/>
      <w:r w:rsidRPr="00641EA0">
        <w:rPr>
          <w:rFonts w:ascii="Cambria" w:hAnsi="Cambria"/>
          <w:lang w:val="es-ES"/>
        </w:rPr>
        <w:t xml:space="preserve">: </w:t>
      </w:r>
      <w:proofErr w:type="spellStart"/>
      <w:r w:rsidRPr="00641EA0">
        <w:rPr>
          <w:rFonts w:ascii="Cambria" w:hAnsi="Cambria"/>
          <w:lang w:val="es-ES"/>
        </w:rPr>
        <w:t>Bucknell</w:t>
      </w:r>
      <w:proofErr w:type="spellEnd"/>
      <w:r w:rsidRPr="00641EA0">
        <w:rPr>
          <w:rFonts w:ascii="Cambria" w:hAnsi="Cambria"/>
          <w:lang w:val="es-ES"/>
        </w:rPr>
        <w:t xml:space="preserve"> </w:t>
      </w:r>
      <w:proofErr w:type="spellStart"/>
      <w:r w:rsidRPr="00641EA0">
        <w:rPr>
          <w:rFonts w:ascii="Cambria" w:hAnsi="Cambria"/>
          <w:lang w:val="es-ES"/>
        </w:rPr>
        <w:t>University</w:t>
      </w:r>
      <w:proofErr w:type="spellEnd"/>
      <w:r w:rsidRPr="00641EA0">
        <w:rPr>
          <w:rFonts w:ascii="Cambria" w:hAnsi="Cambria"/>
          <w:lang w:val="es-ES"/>
        </w:rPr>
        <w:t xml:space="preserve"> </w:t>
      </w:r>
      <w:proofErr w:type="spellStart"/>
      <w:r w:rsidRPr="00641EA0">
        <w:rPr>
          <w:rFonts w:ascii="Cambria" w:hAnsi="Cambria"/>
          <w:lang w:val="es-ES"/>
        </w:rPr>
        <w:t>Press</w:t>
      </w:r>
      <w:proofErr w:type="spellEnd"/>
      <w:r w:rsidRPr="00641EA0">
        <w:rPr>
          <w:rFonts w:ascii="Cambria" w:hAnsi="Cambria"/>
          <w:lang w:val="es-ES"/>
        </w:rPr>
        <w:t>.</w:t>
      </w:r>
    </w:p>
    <w:p w:rsidR="00641EA0" w:rsidRPr="00641EA0" w:rsidRDefault="00641EA0" w:rsidP="00641EA0">
      <w:pPr>
        <w:spacing w:after="60" w:line="259" w:lineRule="auto"/>
        <w:ind w:left="284" w:hanging="284"/>
        <w:rPr>
          <w:rFonts w:ascii="Cambria" w:hAnsi="Cambria"/>
          <w:lang w:val="es-ES"/>
        </w:rPr>
      </w:pPr>
      <w:r w:rsidRPr="00641EA0">
        <w:rPr>
          <w:rFonts w:ascii="Cambria" w:hAnsi="Cambria"/>
          <w:lang w:val="es-ES"/>
        </w:rPr>
        <w:t xml:space="preserve">Pereda, Alicia. 2003. “De las ‘damas melindrosas’ a las ‘señoritas amables’: las mujeres en la prensa mexicana a comienzos del siglo XIX”, </w:t>
      </w:r>
      <w:r w:rsidRPr="00641EA0">
        <w:rPr>
          <w:rFonts w:ascii="Cambria" w:hAnsi="Cambria"/>
          <w:i/>
          <w:lang w:val="es-ES"/>
        </w:rPr>
        <w:t>Cuadernos americanos</w:t>
      </w:r>
      <w:r w:rsidRPr="00641EA0">
        <w:rPr>
          <w:rFonts w:ascii="Cambria" w:hAnsi="Cambria"/>
          <w:lang w:val="es-ES"/>
        </w:rPr>
        <w:t xml:space="preserve"> (100): 160‐180.</w:t>
      </w:r>
    </w:p>
    <w:p w:rsidR="00641EA0" w:rsidRPr="00641EA0" w:rsidRDefault="00641EA0" w:rsidP="00641EA0">
      <w:pPr>
        <w:spacing w:after="60" w:line="259" w:lineRule="auto"/>
        <w:ind w:left="284" w:hanging="284"/>
        <w:rPr>
          <w:rFonts w:ascii="Cambria" w:hAnsi="Cambria"/>
          <w:lang w:val="es-ES"/>
        </w:rPr>
      </w:pPr>
      <w:proofErr w:type="spellStart"/>
      <w:r w:rsidRPr="00641EA0">
        <w:rPr>
          <w:rFonts w:ascii="Cambria" w:hAnsi="Cambria"/>
          <w:lang w:val="es-ES"/>
        </w:rPr>
        <w:t>Poupeney</w:t>
      </w:r>
      <w:proofErr w:type="spellEnd"/>
      <w:r w:rsidRPr="00641EA0">
        <w:rPr>
          <w:rFonts w:ascii="Cambria" w:hAnsi="Cambria"/>
          <w:lang w:val="es-ES"/>
        </w:rPr>
        <w:t xml:space="preserve"> </w:t>
      </w:r>
      <w:proofErr w:type="spellStart"/>
      <w:r w:rsidRPr="00641EA0">
        <w:rPr>
          <w:rFonts w:ascii="Cambria" w:hAnsi="Cambria"/>
          <w:lang w:val="es-ES"/>
        </w:rPr>
        <w:t>Hart</w:t>
      </w:r>
      <w:proofErr w:type="spellEnd"/>
      <w:r w:rsidRPr="00641EA0">
        <w:rPr>
          <w:rFonts w:ascii="Cambria" w:hAnsi="Cambria"/>
          <w:lang w:val="es-ES"/>
        </w:rPr>
        <w:t xml:space="preserve">, Catherine. 2010. “Prensa periódica y letras coloniales”, </w:t>
      </w:r>
      <w:proofErr w:type="spellStart"/>
      <w:r w:rsidRPr="00641EA0">
        <w:rPr>
          <w:rFonts w:ascii="Cambria" w:hAnsi="Cambria"/>
          <w:i/>
          <w:lang w:val="es-ES"/>
        </w:rPr>
        <w:t>Tinkuy</w:t>
      </w:r>
      <w:proofErr w:type="spellEnd"/>
      <w:r w:rsidRPr="00641EA0">
        <w:rPr>
          <w:rFonts w:ascii="Cambria" w:hAnsi="Cambria"/>
          <w:lang w:val="es-ES"/>
        </w:rPr>
        <w:t xml:space="preserve"> 14. </w:t>
      </w:r>
    </w:p>
    <w:p w:rsidR="00641EA0" w:rsidRPr="00641EA0" w:rsidRDefault="00641EA0" w:rsidP="00641EA0">
      <w:pPr>
        <w:spacing w:after="60" w:line="259" w:lineRule="auto"/>
        <w:ind w:left="284" w:hanging="284"/>
        <w:rPr>
          <w:rFonts w:ascii="Cambria" w:hAnsi="Cambria"/>
          <w:lang w:val="fr-FR"/>
        </w:rPr>
      </w:pPr>
      <w:r w:rsidRPr="00641EA0">
        <w:rPr>
          <w:rFonts w:ascii="Cambria" w:hAnsi="Cambria"/>
          <w:lang w:val="en-GB"/>
        </w:rPr>
        <w:t xml:space="preserve">Quirk, Denise P. 2003. “‘True Englishwomen’ and ‘Anglo-Indians’: Gender, National Identity, and Feminism in the Victorian Women's Periodical Press”. In: </w:t>
      </w:r>
      <w:r w:rsidRPr="00641EA0">
        <w:rPr>
          <w:rFonts w:ascii="Cambria" w:hAnsi="Cambria"/>
          <w:i/>
          <w:lang w:val="en-GB"/>
        </w:rPr>
        <w:t>Imperial co-histories: national identities and the British and colonial press</w:t>
      </w:r>
      <w:r w:rsidRPr="00641EA0">
        <w:rPr>
          <w:rFonts w:ascii="Cambria" w:hAnsi="Cambria"/>
          <w:lang w:val="en-GB"/>
        </w:rPr>
        <w:t xml:space="preserve"> </w:t>
      </w:r>
      <w:proofErr w:type="spellStart"/>
      <w:r w:rsidRPr="00641EA0">
        <w:rPr>
          <w:rFonts w:ascii="Cambria" w:hAnsi="Cambria"/>
          <w:lang w:val="en-GB"/>
        </w:rPr>
        <w:t>organizado</w:t>
      </w:r>
      <w:proofErr w:type="spellEnd"/>
      <w:r w:rsidRPr="00641EA0">
        <w:rPr>
          <w:rFonts w:ascii="Cambria" w:hAnsi="Cambria"/>
          <w:lang w:val="en-GB"/>
        </w:rPr>
        <w:t xml:space="preserve"> </w:t>
      </w:r>
      <w:proofErr w:type="spellStart"/>
      <w:r w:rsidRPr="00641EA0">
        <w:rPr>
          <w:rFonts w:ascii="Cambria" w:hAnsi="Cambria"/>
          <w:lang w:val="en-GB"/>
        </w:rPr>
        <w:t>por</w:t>
      </w:r>
      <w:proofErr w:type="spellEnd"/>
      <w:r w:rsidRPr="00641EA0">
        <w:rPr>
          <w:rFonts w:ascii="Cambria" w:hAnsi="Cambria"/>
          <w:lang w:val="en-GB"/>
        </w:rPr>
        <w:t xml:space="preserve"> Julie F. </w:t>
      </w:r>
      <w:proofErr w:type="spellStart"/>
      <w:r w:rsidRPr="00641EA0">
        <w:rPr>
          <w:rFonts w:ascii="Cambria" w:hAnsi="Cambria"/>
          <w:lang w:val="en-GB"/>
        </w:rPr>
        <w:t>Codell</w:t>
      </w:r>
      <w:proofErr w:type="spellEnd"/>
      <w:r w:rsidRPr="00641EA0">
        <w:rPr>
          <w:rFonts w:ascii="Cambria" w:hAnsi="Cambria"/>
          <w:lang w:val="en-GB"/>
        </w:rPr>
        <w:t xml:space="preserve">, 167-187. </w:t>
      </w:r>
      <w:r w:rsidRPr="00641EA0">
        <w:rPr>
          <w:rFonts w:ascii="Cambria" w:hAnsi="Cambria"/>
          <w:lang w:val="fr-FR"/>
        </w:rPr>
        <w:t xml:space="preserve">Madison, N.J.: </w:t>
      </w:r>
      <w:proofErr w:type="spellStart"/>
      <w:r w:rsidRPr="00641EA0">
        <w:rPr>
          <w:rFonts w:ascii="Cambria" w:hAnsi="Cambria"/>
          <w:lang w:val="fr-FR"/>
        </w:rPr>
        <w:t>Fairleigh</w:t>
      </w:r>
      <w:proofErr w:type="spellEnd"/>
      <w:r w:rsidRPr="00641EA0">
        <w:rPr>
          <w:rFonts w:ascii="Cambria" w:hAnsi="Cambria"/>
          <w:lang w:val="fr-FR"/>
        </w:rPr>
        <w:t xml:space="preserve"> Dickinson </w:t>
      </w:r>
      <w:proofErr w:type="spellStart"/>
      <w:r w:rsidRPr="00641EA0">
        <w:rPr>
          <w:rFonts w:ascii="Cambria" w:hAnsi="Cambria"/>
          <w:lang w:val="fr-FR"/>
        </w:rPr>
        <w:t>University</w:t>
      </w:r>
      <w:proofErr w:type="spellEnd"/>
      <w:r w:rsidRPr="00641EA0">
        <w:rPr>
          <w:rFonts w:ascii="Cambria" w:hAnsi="Cambria"/>
          <w:lang w:val="fr-FR"/>
        </w:rPr>
        <w:t xml:space="preserve"> </w:t>
      </w:r>
      <w:proofErr w:type="spellStart"/>
      <w:r w:rsidRPr="00641EA0">
        <w:rPr>
          <w:rFonts w:ascii="Cambria" w:hAnsi="Cambria"/>
          <w:lang w:val="fr-FR"/>
        </w:rPr>
        <w:t>Press</w:t>
      </w:r>
      <w:proofErr w:type="spellEnd"/>
      <w:r w:rsidRPr="00641EA0">
        <w:rPr>
          <w:rFonts w:ascii="Cambria" w:hAnsi="Cambria"/>
          <w:lang w:val="fr-FR"/>
        </w:rPr>
        <w:t>.</w:t>
      </w:r>
    </w:p>
    <w:p w:rsidR="00641EA0" w:rsidRPr="00641EA0" w:rsidRDefault="00641EA0" w:rsidP="00641EA0">
      <w:pPr>
        <w:spacing w:line="276" w:lineRule="auto"/>
        <w:rPr>
          <w:rFonts w:ascii="Cambria" w:hAnsi="Cambria"/>
          <w:b/>
          <w:lang w:val="fr-FR"/>
        </w:rPr>
      </w:pPr>
      <w:r w:rsidRPr="00641EA0">
        <w:rPr>
          <w:rFonts w:ascii="Cambria" w:hAnsi="Cambria"/>
          <w:b/>
          <w:lang w:val="fr-FR"/>
        </w:rPr>
        <w:t>Date limite de soumission</w:t>
      </w:r>
    </w:p>
    <w:p w:rsidR="00641EA0" w:rsidRPr="00641EA0" w:rsidRDefault="00641EA0" w:rsidP="00641EA0">
      <w:pPr>
        <w:spacing w:line="276" w:lineRule="auto"/>
        <w:rPr>
          <w:rFonts w:ascii="Cambria" w:hAnsi="Cambria"/>
          <w:b/>
          <w:lang w:val="fr-FR"/>
        </w:rPr>
      </w:pPr>
      <w:r w:rsidRPr="00641EA0">
        <w:rPr>
          <w:rFonts w:ascii="Cambria" w:hAnsi="Cambria"/>
          <w:lang w:val="fr-FR"/>
        </w:rPr>
        <w:t>Soumission d'articles, avec le strict respect des directives de la revue présentées sur Http://www.apem-estudos.org/pt/page/s</w:t>
      </w:r>
      <w:r w:rsidR="000C353A">
        <w:rPr>
          <w:rFonts w:ascii="Cambria" w:hAnsi="Cambria"/>
          <w:lang w:val="fr-FR"/>
        </w:rPr>
        <w:t>ubmissao-de-artigos, jusqu'au 30</w:t>
      </w:r>
      <w:bookmarkStart w:id="0" w:name="_GoBack"/>
      <w:bookmarkEnd w:id="0"/>
      <w:r w:rsidRPr="00641EA0">
        <w:rPr>
          <w:rFonts w:ascii="Cambria" w:hAnsi="Cambria"/>
          <w:lang w:val="fr-FR"/>
        </w:rPr>
        <w:t xml:space="preserve"> novembre de 2018 à </w:t>
      </w:r>
      <w:r w:rsidRPr="00641EA0">
        <w:rPr>
          <w:rFonts w:ascii="Cambria" w:hAnsi="Cambria"/>
          <w:u w:val="single"/>
          <w:lang w:val="fr-FR"/>
        </w:rPr>
        <w:t>apem1991@gmail.com</w:t>
      </w:r>
      <w:r w:rsidRPr="00641EA0">
        <w:rPr>
          <w:rFonts w:ascii="Cambria" w:hAnsi="Cambria"/>
          <w:lang w:val="fr-FR"/>
        </w:rPr>
        <w:t xml:space="preserve">. Les textes qui ne respectent pas les normes relatives à </w:t>
      </w:r>
      <w:r w:rsidRPr="00641EA0">
        <w:rPr>
          <w:rFonts w:ascii="Cambria" w:hAnsi="Cambria"/>
          <w:lang w:val="fr-FR"/>
        </w:rPr>
        <w:lastRenderedPageBreak/>
        <w:t xml:space="preserve">l’extension, à la mise en forme et à la citation ainsi qu’au référencement des sources bibliographiques </w:t>
      </w:r>
      <w:r w:rsidRPr="00641EA0">
        <w:rPr>
          <w:rFonts w:ascii="Cambria" w:hAnsi="Cambria"/>
          <w:b/>
          <w:lang w:val="fr-FR"/>
        </w:rPr>
        <w:t xml:space="preserve">ne seront pas retenus. </w:t>
      </w:r>
      <w:r w:rsidRPr="00641EA0">
        <w:rPr>
          <w:rFonts w:ascii="Cambria" w:hAnsi="Cambria"/>
          <w:lang w:val="fr-FR"/>
        </w:rPr>
        <w:t>Dans les quatre semaines après la date limite pour la réception, les auteurs/es recevront des informations sur les résultats du premier examen et sur le passage à l’étape suivante, c'est-à-dire la présentation de l’article, sous anonymat, à un examen scientifique par des pairs. La sortie de ce numéro est prévue en juin de 2019.</w:t>
      </w:r>
    </w:p>
    <w:p w:rsidR="00641EA0" w:rsidRPr="00641EA0" w:rsidRDefault="00641EA0" w:rsidP="00641EA0">
      <w:pPr>
        <w:spacing w:line="276" w:lineRule="auto"/>
        <w:rPr>
          <w:rFonts w:ascii="Cambria" w:hAnsi="Cambria"/>
          <w:lang w:val="fr-FR"/>
        </w:rPr>
      </w:pPr>
    </w:p>
    <w:p w:rsidR="00641EA0" w:rsidRPr="00641EA0" w:rsidRDefault="00641EA0" w:rsidP="00641EA0">
      <w:pPr>
        <w:spacing w:line="276" w:lineRule="auto"/>
        <w:rPr>
          <w:rFonts w:ascii="Cambria" w:hAnsi="Cambria"/>
          <w:b/>
          <w:lang w:val="fr-FR"/>
        </w:rPr>
      </w:pPr>
      <w:r w:rsidRPr="00641EA0">
        <w:rPr>
          <w:rFonts w:ascii="Cambria" w:hAnsi="Cambria"/>
          <w:b/>
          <w:lang w:val="fr-FR"/>
        </w:rPr>
        <w:t>En plus des articles pour les dossiers thématiques, ex æquo accepte en permanence des contributions aux sections d’études des essais ainsi que des critiques de livres.</w:t>
      </w:r>
    </w:p>
    <w:p w:rsidR="00CF73B9" w:rsidRDefault="00CF73B9">
      <w:pPr>
        <w:rPr>
          <w:rFonts w:ascii="Cambria" w:hAnsi="Cambria"/>
          <w:lang w:val="fr-FR"/>
        </w:rPr>
      </w:pPr>
    </w:p>
    <w:p w:rsidR="00641EA0" w:rsidRPr="00641EA0" w:rsidRDefault="00641EA0" w:rsidP="00641EA0">
      <w:pPr>
        <w:spacing w:after="60"/>
        <w:ind w:right="51"/>
        <w:rPr>
          <w:rFonts w:ascii="Cambria" w:hAnsi="Cambria"/>
          <w:i/>
          <w:sz w:val="32"/>
          <w:lang w:val="en-GB"/>
        </w:rPr>
      </w:pPr>
      <w:proofErr w:type="gramStart"/>
      <w:r w:rsidRPr="00641EA0">
        <w:rPr>
          <w:rFonts w:ascii="Cambria" w:hAnsi="Cambria"/>
          <w:b/>
          <w:i/>
          <w:sz w:val="32"/>
          <w:lang w:val="en-GB"/>
        </w:rPr>
        <w:t>ex</w:t>
      </w:r>
      <w:proofErr w:type="gramEnd"/>
      <w:r w:rsidRPr="00641EA0">
        <w:rPr>
          <w:rFonts w:ascii="Cambria" w:hAnsi="Cambria"/>
          <w:b/>
          <w:i/>
          <w:sz w:val="32"/>
          <w:lang w:val="en-GB"/>
        </w:rPr>
        <w:t xml:space="preserve"> </w:t>
      </w:r>
      <w:proofErr w:type="spellStart"/>
      <w:r w:rsidRPr="00641EA0">
        <w:rPr>
          <w:rFonts w:ascii="Cambria" w:hAnsi="Cambria"/>
          <w:b/>
          <w:i/>
          <w:sz w:val="32"/>
          <w:lang w:val="en-GB"/>
        </w:rPr>
        <w:t>æquo</w:t>
      </w:r>
      <w:proofErr w:type="spellEnd"/>
      <w:r w:rsidRPr="00641EA0">
        <w:rPr>
          <w:rFonts w:ascii="Cambria" w:hAnsi="Cambria"/>
          <w:i/>
          <w:sz w:val="32"/>
          <w:lang w:val="en-GB"/>
        </w:rPr>
        <w:t xml:space="preserve"> </w:t>
      </w:r>
    </w:p>
    <w:p w:rsidR="00641EA0" w:rsidRPr="00614BD4" w:rsidRDefault="00641EA0" w:rsidP="00641EA0">
      <w:pPr>
        <w:autoSpaceDE w:val="0"/>
        <w:autoSpaceDN w:val="0"/>
        <w:adjustRightInd w:val="0"/>
        <w:spacing w:after="120"/>
        <w:rPr>
          <w:rFonts w:ascii="Cambria" w:hAnsi="Cambria" w:cs="Palatino-Roman"/>
          <w:sz w:val="20"/>
          <w:lang w:val="en-US"/>
        </w:rPr>
      </w:pPr>
      <w:r w:rsidRPr="00E135D2">
        <w:rPr>
          <w:rFonts w:ascii="Cambria" w:hAnsi="Cambria"/>
          <w:noProof/>
          <w:sz w:val="20"/>
          <w:lang w:val="en-US" w:eastAsia="en-US"/>
        </w:rPr>
        <w:drawing>
          <wp:anchor distT="0" distB="0" distL="114300" distR="114300" simplePos="0" relativeHeight="251659264" behindDoc="0" locked="0" layoutInCell="1" allowOverlap="1" wp14:anchorId="6895B4FE" wp14:editId="524D565B">
            <wp:simplePos x="0" y="0"/>
            <wp:positionH relativeFrom="margin">
              <wp:posOffset>3552825</wp:posOffset>
            </wp:positionH>
            <wp:positionV relativeFrom="margin">
              <wp:posOffset>2230120</wp:posOffset>
            </wp:positionV>
            <wp:extent cx="2798445" cy="2762250"/>
            <wp:effectExtent l="0" t="0" r="1905" b="0"/>
            <wp:wrapSquare wrapText="bothSides"/>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8445" cy="27622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614BD4">
        <w:rPr>
          <w:rStyle w:val="nfase"/>
          <w:rFonts w:ascii="Cambria" w:hAnsi="Cambria"/>
          <w:b/>
          <w:bCs/>
          <w:sz w:val="20"/>
          <w:lang w:val="en-US"/>
        </w:rPr>
        <w:t>ex</w:t>
      </w:r>
      <w:proofErr w:type="gramEnd"/>
      <w:r w:rsidRPr="00614BD4">
        <w:rPr>
          <w:rStyle w:val="nfase"/>
          <w:rFonts w:ascii="Cambria" w:hAnsi="Cambria"/>
          <w:b/>
          <w:bCs/>
          <w:sz w:val="20"/>
          <w:lang w:val="en-US"/>
        </w:rPr>
        <w:t xml:space="preserve"> </w:t>
      </w:r>
      <w:proofErr w:type="spellStart"/>
      <w:r w:rsidRPr="00614BD4">
        <w:rPr>
          <w:rStyle w:val="nfase"/>
          <w:rFonts w:ascii="Cambria" w:hAnsi="Cambria"/>
          <w:b/>
          <w:bCs/>
          <w:sz w:val="20"/>
          <w:lang w:val="en-US"/>
        </w:rPr>
        <w:t>æquo</w:t>
      </w:r>
      <w:proofErr w:type="spellEnd"/>
      <w:r w:rsidRPr="00614BD4">
        <w:rPr>
          <w:rStyle w:val="apple-converted-space"/>
          <w:rFonts w:ascii="Cambria" w:hAnsi="Cambria"/>
          <w:b/>
          <w:bCs/>
          <w:sz w:val="20"/>
          <w:lang w:val="en-US"/>
        </w:rPr>
        <w:t> </w:t>
      </w:r>
      <w:r w:rsidRPr="00614BD4">
        <w:rPr>
          <w:rFonts w:ascii="Cambria" w:hAnsi="Cambria"/>
          <w:b/>
          <w:sz w:val="20"/>
          <w:lang w:val="en-US"/>
        </w:rPr>
        <w:t>is a scientific, interdisciplinary and multidisciplinary peer reviewed journal</w:t>
      </w:r>
      <w:r w:rsidRPr="00614BD4">
        <w:rPr>
          <w:rFonts w:ascii="Cambria" w:hAnsi="Cambria"/>
          <w:sz w:val="20"/>
          <w:lang w:val="en-US"/>
        </w:rPr>
        <w:t xml:space="preserve"> open to contributions of multiple disciplines and currents of thought.</w:t>
      </w:r>
      <w:r w:rsidRPr="00614BD4">
        <w:rPr>
          <w:rStyle w:val="apple-converted-space"/>
          <w:rFonts w:ascii="Cambria" w:hAnsi="Cambria"/>
          <w:sz w:val="20"/>
          <w:lang w:val="en-US"/>
        </w:rPr>
        <w:t> </w:t>
      </w:r>
      <w:r w:rsidRPr="00614BD4">
        <w:rPr>
          <w:rFonts w:ascii="Cambria" w:hAnsi="Cambria"/>
          <w:noProof/>
          <w:sz w:val="20"/>
          <w:lang w:val="en-US"/>
        </w:rPr>
        <w:t xml:space="preserve">Published since 1999 as a </w:t>
      </w:r>
      <w:r w:rsidRPr="00E135D2">
        <w:rPr>
          <w:rFonts w:ascii="Cambria" w:hAnsi="Cambria"/>
          <w:sz w:val="20"/>
          <w:lang w:val="en-GB"/>
        </w:rPr>
        <w:t>bi-annual interdisciplinary journal in the area of Women’s, Gender and Feminist Studies (</w:t>
      </w:r>
      <w:r w:rsidRPr="00614BD4">
        <w:rPr>
          <w:rFonts w:ascii="Cambria" w:hAnsi="Cambria"/>
          <w:sz w:val="20"/>
          <w:lang w:val="en-US"/>
        </w:rPr>
        <w:t>http://exaequo.apem-estudos.org/page/apresentacao-da-revista?lingua=en</w:t>
      </w:r>
      <w:r w:rsidRPr="00E135D2">
        <w:rPr>
          <w:rFonts w:ascii="Cambria" w:hAnsi="Cambria"/>
          <w:sz w:val="20"/>
          <w:lang w:val="en-GB"/>
        </w:rPr>
        <w:t>)</w:t>
      </w:r>
    </w:p>
    <w:p w:rsidR="00641EA0" w:rsidRPr="00E135D2" w:rsidRDefault="00641EA0" w:rsidP="00641EA0">
      <w:pPr>
        <w:spacing w:after="60"/>
        <w:ind w:right="51"/>
        <w:rPr>
          <w:rFonts w:ascii="Cambria" w:hAnsi="Cambria"/>
          <w:sz w:val="20"/>
          <w:lang w:val="en-GB"/>
        </w:rPr>
      </w:pPr>
      <w:proofErr w:type="gramStart"/>
      <w:r w:rsidRPr="00E135D2">
        <w:rPr>
          <w:rFonts w:ascii="Cambria" w:hAnsi="Cambria"/>
          <w:b/>
          <w:i/>
          <w:sz w:val="20"/>
          <w:lang w:val="en-GB"/>
        </w:rPr>
        <w:t>ex</w:t>
      </w:r>
      <w:proofErr w:type="gramEnd"/>
      <w:r w:rsidRPr="00E135D2">
        <w:rPr>
          <w:rFonts w:ascii="Cambria" w:hAnsi="Cambria"/>
          <w:b/>
          <w:i/>
          <w:sz w:val="20"/>
          <w:lang w:val="en-GB"/>
        </w:rPr>
        <w:t xml:space="preserve"> </w:t>
      </w:r>
      <w:proofErr w:type="spellStart"/>
      <w:r w:rsidRPr="00E135D2">
        <w:rPr>
          <w:rFonts w:ascii="Cambria" w:hAnsi="Cambria"/>
          <w:b/>
          <w:i/>
          <w:sz w:val="20"/>
          <w:lang w:val="en-GB"/>
        </w:rPr>
        <w:t>æquo</w:t>
      </w:r>
      <w:proofErr w:type="spellEnd"/>
      <w:r w:rsidRPr="00E135D2">
        <w:rPr>
          <w:rFonts w:ascii="Cambria" w:hAnsi="Cambria"/>
          <w:sz w:val="20"/>
          <w:lang w:val="en-GB"/>
        </w:rPr>
        <w:t xml:space="preserve"> invites submissions of original papers, both to the thematic dossiers and the studies and essays caption, and book reviews. The Journal is edited by the Portuguese Association of Women’s Studies (APEM) and is directed to an international audience, accepting manuscripts submitted in Portuguese, English, French and Spanish, from various countries. It aims to ensure that the articles published make a significant contribution to the advance of knowledge. Articles submitted for publication undergo a blind independent review by at least two recognised specialists drawn from a range of countries. </w:t>
      </w:r>
    </w:p>
    <w:p w:rsidR="00641EA0" w:rsidRPr="00641EA0" w:rsidRDefault="00641EA0" w:rsidP="00641EA0">
      <w:pPr>
        <w:rPr>
          <w:rFonts w:ascii="Cambria" w:hAnsi="Cambria"/>
          <w:lang w:val="en-US"/>
        </w:rPr>
      </w:pPr>
      <w:r w:rsidRPr="00614BD4">
        <w:rPr>
          <w:rFonts w:ascii="Cambria" w:hAnsi="Cambria" w:cstheme="minorHAnsi"/>
          <w:sz w:val="20"/>
          <w:lang w:val="en-US"/>
        </w:rPr>
        <w:t>It is sponsored by the Portuguese Foundation for Science and Technology (FCT) (</w:t>
      </w:r>
      <w:hyperlink r:id="rId18" w:tgtFrame="_blank" w:history="1">
        <w:r w:rsidRPr="00614BD4">
          <w:rPr>
            <w:rStyle w:val="Hiperligao"/>
            <w:rFonts w:ascii="Cambria" w:hAnsi="Cambria" w:cstheme="minorHAnsi"/>
            <w:sz w:val="20"/>
            <w:lang w:val="en-US"/>
          </w:rPr>
          <w:t>http://alfa.fct.mctes.pt/apoios/facc/estatisticas/periodicos_2002_2006#sociais</w:t>
        </w:r>
      </w:hyperlink>
      <w:r w:rsidRPr="00614BD4">
        <w:rPr>
          <w:rFonts w:ascii="Cambria" w:hAnsi="Cambria" w:cstheme="minorHAnsi"/>
          <w:sz w:val="20"/>
          <w:lang w:val="en-US"/>
        </w:rPr>
        <w:t>).</w:t>
      </w:r>
    </w:p>
    <w:sectPr w:rsidR="00641EA0" w:rsidRPr="00641E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A0"/>
    <w:rsid w:val="000C353A"/>
    <w:rsid w:val="00641EA0"/>
    <w:rsid w:val="00CF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B7671-EE7E-41D5-9989-6414F45C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1EA0"/>
    <w:pPr>
      <w:spacing w:after="0" w:line="240" w:lineRule="auto"/>
    </w:pPr>
    <w:rPr>
      <w:rFonts w:ascii="Times New Roman" w:eastAsia="Times New Roman" w:hAnsi="Times New Roman" w:cs="Times New Roman"/>
      <w:sz w:val="24"/>
      <w:szCs w:val="24"/>
      <w:lang w:val="pt-PT" w:eastAsia="de-D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64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Tipodeletrapredefinidodopargrafo"/>
    <w:rsid w:val="00641EA0"/>
  </w:style>
  <w:style w:type="character" w:styleId="Hiperligao">
    <w:name w:val="Hyperlink"/>
    <w:basedOn w:val="Tipodeletrapredefinidodopargrafo"/>
    <w:uiPriority w:val="99"/>
    <w:unhideWhenUsed/>
    <w:rsid w:val="00641EA0"/>
    <w:rPr>
      <w:color w:val="0563C1" w:themeColor="hyperlink"/>
      <w:u w:val="single"/>
    </w:rPr>
  </w:style>
  <w:style w:type="character" w:customStyle="1" w:styleId="apple-converted-space">
    <w:name w:val="apple-converted-space"/>
    <w:basedOn w:val="Tipodeletrapredefinidodopargrafo"/>
    <w:rsid w:val="00641EA0"/>
  </w:style>
  <w:style w:type="character" w:styleId="nfase">
    <w:name w:val="Emphasis"/>
    <w:basedOn w:val="Tipodeletrapredefinidodopargrafo"/>
    <w:uiPriority w:val="20"/>
    <w:qFormat/>
    <w:rsid w:val="00641E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dbh.nsd.uib.no/publiseringskanaler/erihplus/periodical/info.action?id=482587" TargetMode="External"/><Relationship Id="rId18" Type="http://schemas.openxmlformats.org/officeDocument/2006/relationships/hyperlink" Target="https://webmail.netcabo.pt/exchweb/bin/redir.asp?URL=http://alfa.fct.mctes.pt/apoios/facc/estatisticas/periodicos_2002_2006%23sociais" TargetMode="External"/><Relationship Id="rId3" Type="http://schemas.openxmlformats.org/officeDocument/2006/relationships/webSettings" Target="webSettings.xml"/><Relationship Id="rId7" Type="http://schemas.openxmlformats.org/officeDocument/2006/relationships/hyperlink" Target="http://www.scielo.mec.pt/scielo.php?script=sci_serial&amp;pid=0874-5560&amp;lng=pt&amp;nrm=iso" TargetMode="Externa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doaj.org/toc/2184-0385" TargetMode="External"/><Relationship Id="rId5" Type="http://schemas.openxmlformats.org/officeDocument/2006/relationships/hyperlink" Target="https://www.scopus.com/" TargetMode="External"/><Relationship Id="rId15" Type="http://schemas.openxmlformats.org/officeDocument/2006/relationships/hyperlink" Target="http://www.latindex.org/latindex/ficha?folio=26280"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okinfo.com/products_tools/multidisciplinary/scielo/" TargetMode="External"/><Relationship Id="rId14" Type="http://schemas.openxmlformats.org/officeDocument/2006/relationships/image" Target="media/image6.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1402</Words>
  <Characters>7996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2018-06-28T00:19:00Z</dcterms:created>
  <dcterms:modified xsi:type="dcterms:W3CDTF">2018-06-28T10:16:00Z</dcterms:modified>
</cp:coreProperties>
</file>