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83BA9" w14:textId="77777777" w:rsidR="007B30A6" w:rsidRDefault="007B30A6" w:rsidP="00766A3E">
      <w:pPr>
        <w:pStyle w:val="Body"/>
        <w:spacing w:line="360" w:lineRule="auto"/>
        <w:jc w:val="center"/>
        <w:rPr>
          <w:rStyle w:val="Nmerodepgina"/>
          <w:rFonts w:ascii="Palatino Linotype" w:hAnsi="Palatino Linotype"/>
          <w:b/>
          <w:bCs/>
          <w:lang w:val="es-ES"/>
        </w:rPr>
      </w:pPr>
    </w:p>
    <w:tbl>
      <w:tblPr>
        <w:tblStyle w:val="Tabelacomgrelha"/>
        <w:tblW w:w="9356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7B30A6" w:rsidRPr="00641EA0" w14:paraId="5475E5DF" w14:textId="77777777" w:rsidTr="004D261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2E72C50A" w14:textId="77777777" w:rsidR="007B30A6" w:rsidRDefault="007B30A6" w:rsidP="009F7F95">
            <w:pPr>
              <w:jc w:val="center"/>
            </w:pPr>
            <w:r w:rsidRPr="00641EA0">
              <w:rPr>
                <w:noProof/>
              </w:rPr>
              <w:drawing>
                <wp:inline distT="0" distB="0" distL="0" distR="0" wp14:anchorId="7E246849" wp14:editId="7E528D1E">
                  <wp:extent cx="1979372" cy="462869"/>
                  <wp:effectExtent l="0" t="0" r="1905" b="0"/>
                  <wp:docPr id="1" name="Imagem 1" descr="D:\Ficheiros Virgínia Outubro 2007 actualizados set 2014\APEM\AA ex aequo\Instrumentos e procedimentos\Divulgação de números\Logo ex aequ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icheiros Virgínia Outubro 2007 actualizados set 2014\APEM\AA ex aequo\Instrumentos e procedimentos\Divulgação de números\Logo ex aequ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987" cy="50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DE814" w14:textId="77777777" w:rsidR="007B30A6" w:rsidRDefault="007B30A6" w:rsidP="009F7F95">
            <w:pPr>
              <w:jc w:val="center"/>
            </w:pPr>
          </w:p>
          <w:p w14:paraId="3EBCF9C5" w14:textId="77777777" w:rsidR="007B30A6" w:rsidRDefault="007B30A6" w:rsidP="009F7F95">
            <w:pPr>
              <w:jc w:val="center"/>
            </w:pPr>
          </w:p>
          <w:p w14:paraId="72C6BE60" w14:textId="71DB53AB" w:rsidR="007B30A6" w:rsidRPr="00F761A0" w:rsidRDefault="00F761A0" w:rsidP="009F7F95">
            <w:pPr>
              <w:jc w:val="center"/>
              <w:rPr>
                <w:rFonts w:ascii="Cambria" w:hAnsi="Cambria"/>
                <w:lang w:val="es-ES"/>
              </w:rPr>
            </w:pPr>
            <w:r w:rsidRPr="00766A3E">
              <w:rPr>
                <w:rStyle w:val="Nmerodepgina"/>
                <w:rFonts w:ascii="Palatino Linotype" w:hAnsi="Palatino Linotype"/>
                <w:b/>
                <w:bCs/>
                <w:lang w:val="es-ES"/>
              </w:rPr>
              <w:t>LLAMADA PARA CONTRIBUCIONES / CALL FOR PAPERS</w:t>
            </w:r>
          </w:p>
          <w:p w14:paraId="4D825179" w14:textId="77777777" w:rsidR="007B30A6" w:rsidRPr="00F761A0" w:rsidRDefault="007B30A6" w:rsidP="009F7F95">
            <w:pPr>
              <w:jc w:val="center"/>
              <w:rPr>
                <w:lang w:val="es-ES"/>
              </w:rPr>
            </w:pPr>
          </w:p>
          <w:p w14:paraId="1B7C7EAD" w14:textId="77777777" w:rsidR="007B30A6" w:rsidRPr="00F761A0" w:rsidRDefault="007B30A6" w:rsidP="009F7F95">
            <w:pPr>
              <w:jc w:val="center"/>
              <w:rPr>
                <w:lang w:val="es-ES"/>
              </w:rPr>
            </w:pPr>
          </w:p>
          <w:p w14:paraId="12148605" w14:textId="257390FE" w:rsidR="007B30A6" w:rsidRPr="004D261D" w:rsidRDefault="007B30A6" w:rsidP="009F7F95">
            <w:pPr>
              <w:spacing w:line="276" w:lineRule="auto"/>
              <w:jc w:val="center"/>
              <w:rPr>
                <w:b/>
                <w:color w:val="632423" w:themeColor="accent2" w:themeShade="80"/>
                <w:sz w:val="28"/>
                <w:lang w:val="es-ES"/>
              </w:rPr>
            </w:pP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 xml:space="preserve">Género </w:t>
            </w:r>
            <w:r w:rsidR="004D261D">
              <w:rPr>
                <w:b/>
                <w:color w:val="632423" w:themeColor="accent2" w:themeShade="80"/>
                <w:sz w:val="28"/>
                <w:lang w:val="es-ES"/>
              </w:rPr>
              <w:t>y</w:t>
            </w: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 xml:space="preserve"> </w:t>
            </w:r>
            <w:r w:rsidRPr="004D261D">
              <w:rPr>
                <w:b/>
                <w:i/>
                <w:color w:val="632423" w:themeColor="accent2" w:themeShade="80"/>
                <w:sz w:val="28"/>
                <w:lang w:val="es-ES"/>
              </w:rPr>
              <w:t>status</w:t>
            </w:r>
            <w:r w:rsidR="00F761A0" w:rsidRPr="004D261D">
              <w:rPr>
                <w:b/>
                <w:color w:val="632423" w:themeColor="accent2" w:themeShade="80"/>
                <w:sz w:val="28"/>
                <w:lang w:val="es-ES"/>
              </w:rPr>
              <w:t xml:space="preserve"> en la</w:t>
            </w: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 xml:space="preserve"> política internacional: </w:t>
            </w:r>
          </w:p>
          <w:p w14:paraId="44AA22CB" w14:textId="59300404" w:rsidR="007B30A6" w:rsidRPr="004D261D" w:rsidRDefault="007B30A6" w:rsidP="004D261D">
            <w:pPr>
              <w:spacing w:line="276" w:lineRule="auto"/>
              <w:jc w:val="center"/>
              <w:rPr>
                <w:b/>
                <w:color w:val="632423" w:themeColor="accent2" w:themeShade="80"/>
                <w:sz w:val="28"/>
                <w:lang w:val="es-ES"/>
              </w:rPr>
            </w:pP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>Din</w:t>
            </w:r>
            <w:r w:rsidR="00F761A0" w:rsidRPr="004D261D">
              <w:rPr>
                <w:b/>
                <w:color w:val="632423" w:themeColor="accent2" w:themeShade="80"/>
                <w:sz w:val="28"/>
                <w:lang w:val="es-ES"/>
              </w:rPr>
              <w:t>á</w:t>
            </w: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 xml:space="preserve">micas de </w:t>
            </w:r>
            <w:r w:rsidR="00B11300" w:rsidRPr="004D261D">
              <w:rPr>
                <w:b/>
                <w:color w:val="632423" w:themeColor="accent2" w:themeShade="80"/>
                <w:sz w:val="28"/>
                <w:lang w:val="es-ES"/>
              </w:rPr>
              <w:t>cooperacion</w:t>
            </w:r>
            <w:r w:rsidR="00B11300">
              <w:rPr>
                <w:b/>
                <w:color w:val="632423" w:themeColor="accent2" w:themeShade="80"/>
                <w:sz w:val="28"/>
                <w:lang w:val="es-ES"/>
              </w:rPr>
              <w:t>es</w:t>
            </w: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>, confli</w:t>
            </w:r>
            <w:r w:rsidR="00F761A0" w:rsidRPr="004D261D">
              <w:rPr>
                <w:b/>
                <w:color w:val="632423" w:themeColor="accent2" w:themeShade="80"/>
                <w:sz w:val="28"/>
                <w:lang w:val="es-ES"/>
              </w:rPr>
              <w:t>c</w:t>
            </w: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 xml:space="preserve">tos </w:t>
            </w:r>
            <w:r w:rsidR="00F761A0" w:rsidRPr="004D261D">
              <w:rPr>
                <w:b/>
                <w:color w:val="632423" w:themeColor="accent2" w:themeShade="80"/>
                <w:sz w:val="28"/>
                <w:lang w:val="es-ES"/>
              </w:rPr>
              <w:t>y</w:t>
            </w:r>
            <w:r w:rsidR="004D261D">
              <w:rPr>
                <w:b/>
                <w:color w:val="632423" w:themeColor="accent2" w:themeShade="80"/>
                <w:sz w:val="28"/>
                <w:lang w:val="es-ES"/>
              </w:rPr>
              <w:t xml:space="preserve"> </w:t>
            </w: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>a</w:t>
            </w:r>
            <w:r w:rsidR="00F761A0" w:rsidRPr="004D261D">
              <w:rPr>
                <w:b/>
                <w:color w:val="632423" w:themeColor="accent2" w:themeShade="80"/>
                <w:sz w:val="28"/>
                <w:lang w:val="es-ES"/>
              </w:rPr>
              <w:t>c</w:t>
            </w:r>
            <w:r w:rsidRPr="004D261D">
              <w:rPr>
                <w:b/>
                <w:color w:val="632423" w:themeColor="accent2" w:themeShade="80"/>
                <w:sz w:val="28"/>
                <w:lang w:val="es-ES"/>
              </w:rPr>
              <w:t xml:space="preserve">tivismos </w:t>
            </w:r>
            <w:r w:rsidR="00F761A0" w:rsidRPr="00766A3E">
              <w:rPr>
                <w:rStyle w:val="Nmerodepgina"/>
                <w:rFonts w:ascii="Palatino Linotype" w:hAnsi="Palatino Linotype"/>
                <w:b/>
                <w:bCs/>
                <w:lang w:val="es-ES"/>
              </w:rPr>
              <w:tab/>
            </w:r>
          </w:p>
          <w:p w14:paraId="5A3AB6CD" w14:textId="77777777" w:rsidR="00F761A0" w:rsidRPr="00B11300" w:rsidRDefault="00F761A0" w:rsidP="009F7F95">
            <w:pPr>
              <w:spacing w:line="276" w:lineRule="auto"/>
              <w:ind w:left="1593" w:hanging="1559"/>
              <w:rPr>
                <w:rFonts w:ascii="Palatino Linotype" w:hAnsi="Palatino Linotype"/>
                <w:lang w:val="es-ES"/>
              </w:rPr>
            </w:pPr>
            <w:r w:rsidRPr="00F761A0">
              <w:rPr>
                <w:rStyle w:val="Nmerodepgina"/>
                <w:rFonts w:ascii="Palatino Linotype" w:hAnsi="Palatino Linotype"/>
                <w:b/>
                <w:bCs/>
                <w:lang w:val="es-ES"/>
              </w:rPr>
              <w:t>Coordinación de</w:t>
            </w:r>
            <w:r w:rsidR="007B30A6" w:rsidRPr="00B11300">
              <w:rPr>
                <w:rFonts w:ascii="Palatino Linotype" w:hAnsi="Palatino Linotype"/>
                <w:lang w:val="es-ES"/>
              </w:rPr>
              <w:t xml:space="preserve">: </w:t>
            </w:r>
          </w:p>
          <w:p w14:paraId="7FD5766A" w14:textId="53E74421" w:rsidR="00F761A0" w:rsidRPr="00B11300" w:rsidRDefault="007B30A6" w:rsidP="00F761A0">
            <w:pPr>
              <w:spacing w:line="276" w:lineRule="auto"/>
              <w:ind w:left="743" w:hanging="709"/>
              <w:rPr>
                <w:rFonts w:ascii="Palatino Linotype" w:hAnsi="Palatino Linotype"/>
                <w:lang w:val="es-ES"/>
              </w:rPr>
            </w:pPr>
            <w:proofErr w:type="spellStart"/>
            <w:r w:rsidRPr="00B11300">
              <w:rPr>
                <w:rFonts w:ascii="Palatino Linotype" w:hAnsi="Palatino Linotype"/>
                <w:b/>
                <w:lang w:val="es-ES"/>
              </w:rPr>
              <w:t>Vânia</w:t>
            </w:r>
            <w:proofErr w:type="spellEnd"/>
            <w:r w:rsidRPr="00B11300">
              <w:rPr>
                <w:rFonts w:ascii="Palatino Linotype" w:hAnsi="Palatino Linotype"/>
                <w:b/>
                <w:lang w:val="es-ES"/>
              </w:rPr>
              <w:t xml:space="preserve"> Carvalho Pinto, </w:t>
            </w:r>
            <w:r w:rsidRPr="00B11300">
              <w:rPr>
                <w:rFonts w:ascii="Palatino Linotype" w:hAnsi="Palatino Linotype"/>
                <w:i/>
                <w:lang w:val="es-ES"/>
              </w:rPr>
              <w:t xml:space="preserve">Instituto de Relaciones </w:t>
            </w:r>
            <w:r w:rsidRPr="00F761A0">
              <w:rPr>
                <w:rFonts w:ascii="Palatino Linotype" w:hAnsi="Palatino Linotype"/>
                <w:i/>
                <w:lang w:val="es-ES_tradnl"/>
              </w:rPr>
              <w:t>Internacionales</w:t>
            </w:r>
            <w:r w:rsidRPr="00B11300">
              <w:rPr>
                <w:rFonts w:ascii="Palatino Linotype" w:hAnsi="Palatino Linotype"/>
                <w:i/>
                <w:lang w:val="es-ES"/>
              </w:rPr>
              <w:t xml:space="preserve">, Universidad de </w:t>
            </w:r>
            <w:proofErr w:type="spellStart"/>
            <w:r w:rsidRPr="00B11300">
              <w:rPr>
                <w:rFonts w:ascii="Palatino Linotype" w:hAnsi="Palatino Linotype"/>
                <w:i/>
                <w:lang w:val="es-ES"/>
              </w:rPr>
              <w:t>Brasília</w:t>
            </w:r>
            <w:proofErr w:type="spellEnd"/>
            <w:r w:rsidRPr="00B11300">
              <w:rPr>
                <w:rFonts w:ascii="Palatino Linotype" w:hAnsi="Palatino Linotype"/>
                <w:i/>
                <w:lang w:val="es-ES"/>
              </w:rPr>
              <w:t>, Brasil</w:t>
            </w:r>
            <w:r w:rsidR="00F761A0" w:rsidRPr="00B11300">
              <w:rPr>
                <w:rFonts w:ascii="Palatino Linotype" w:hAnsi="Palatino Linotype"/>
                <w:lang w:val="es-ES"/>
              </w:rPr>
              <w:t xml:space="preserve"> </w:t>
            </w:r>
            <w:r w:rsidRPr="00B11300">
              <w:rPr>
                <w:rStyle w:val="Nmerodepgina"/>
                <w:rFonts w:ascii="Palatino Linotype" w:hAnsi="Palatino Linotype"/>
                <w:lang w:val="es-ES"/>
              </w:rPr>
              <w:t>(vcp.unb@gmail.com)</w:t>
            </w:r>
            <w:r w:rsidRPr="00B11300">
              <w:rPr>
                <w:rFonts w:ascii="Palatino Linotype" w:hAnsi="Palatino Linotype"/>
                <w:lang w:val="es-ES"/>
              </w:rPr>
              <w:t xml:space="preserve"> </w:t>
            </w:r>
          </w:p>
          <w:p w14:paraId="55C63145" w14:textId="3B2CAAAF" w:rsidR="007B30A6" w:rsidRPr="00B11300" w:rsidRDefault="007B30A6" w:rsidP="00F761A0">
            <w:pPr>
              <w:spacing w:line="276" w:lineRule="auto"/>
              <w:ind w:left="743" w:hanging="709"/>
              <w:rPr>
                <w:rFonts w:ascii="Palatino Linotype" w:hAnsi="Palatino Linotype"/>
                <w:lang w:val="es-ES"/>
              </w:rPr>
            </w:pPr>
            <w:r w:rsidRPr="00B11300">
              <w:rPr>
                <w:rFonts w:ascii="Palatino Linotype" w:hAnsi="Palatino Linotype"/>
                <w:b/>
                <w:lang w:val="es-ES"/>
              </w:rPr>
              <w:t xml:space="preserve">Andrea </w:t>
            </w:r>
            <w:proofErr w:type="spellStart"/>
            <w:r w:rsidRPr="00B11300">
              <w:rPr>
                <w:rFonts w:ascii="Palatino Linotype" w:hAnsi="Palatino Linotype"/>
                <w:b/>
                <w:lang w:val="es-ES"/>
              </w:rPr>
              <w:t>Fleschenberg</w:t>
            </w:r>
            <w:proofErr w:type="spellEnd"/>
            <w:r w:rsidRPr="00B11300">
              <w:rPr>
                <w:rFonts w:ascii="Palatino Linotype" w:hAnsi="Palatino Linotype"/>
                <w:lang w:val="es-ES"/>
              </w:rPr>
              <w:t xml:space="preserve">, </w:t>
            </w:r>
            <w:r w:rsidRPr="00F761A0">
              <w:rPr>
                <w:rStyle w:val="Nmerodepgina"/>
                <w:rFonts w:ascii="Palatino Linotype" w:hAnsi="Palatino Linotype"/>
                <w:i/>
                <w:iCs/>
                <w:lang w:val="es-ES"/>
              </w:rPr>
              <w:t xml:space="preserve">Instituto de Estudios Asiáticos y Africanos, Universidad Humboldt de </w:t>
            </w:r>
            <w:proofErr w:type="spellStart"/>
            <w:r w:rsidRPr="00F761A0">
              <w:rPr>
                <w:rStyle w:val="Nmerodepgina"/>
                <w:rFonts w:ascii="Palatino Linotype" w:hAnsi="Palatino Linotype"/>
                <w:i/>
                <w:iCs/>
                <w:lang w:val="es-ES"/>
              </w:rPr>
              <w:t>Berlim</w:t>
            </w:r>
            <w:proofErr w:type="spellEnd"/>
            <w:r w:rsidRPr="00F761A0">
              <w:rPr>
                <w:rStyle w:val="Nmerodepgina"/>
                <w:rFonts w:ascii="Palatino Linotype" w:hAnsi="Palatino Linotype"/>
                <w:i/>
                <w:iCs/>
                <w:lang w:val="es-ES"/>
              </w:rPr>
              <w:t xml:space="preserve">, </w:t>
            </w:r>
            <w:proofErr w:type="spellStart"/>
            <w:r w:rsidRPr="00F761A0">
              <w:rPr>
                <w:rStyle w:val="Nmerodepgina"/>
                <w:rFonts w:ascii="Palatino Linotype" w:hAnsi="Palatino Linotype"/>
                <w:i/>
                <w:iCs/>
                <w:lang w:val="es-ES"/>
              </w:rPr>
              <w:t>Alemanha</w:t>
            </w:r>
            <w:proofErr w:type="spellEnd"/>
          </w:p>
          <w:p w14:paraId="2F5CF7B0" w14:textId="77777777" w:rsidR="007B30A6" w:rsidRPr="00B11300" w:rsidRDefault="007B30A6" w:rsidP="009F7F95">
            <w:pPr>
              <w:spacing w:line="276" w:lineRule="auto"/>
              <w:ind w:left="1588"/>
              <w:rPr>
                <w:rFonts w:ascii="Palatino Linotype" w:hAnsi="Palatino Linotype"/>
                <w:lang w:val="es-ES"/>
              </w:rPr>
            </w:pPr>
            <w:r w:rsidRPr="00B11300">
              <w:rPr>
                <w:rStyle w:val="Nmerodepgina"/>
                <w:rFonts w:ascii="Palatino Linotype" w:hAnsi="Palatino Linotype"/>
                <w:lang w:val="es-ES"/>
              </w:rPr>
              <w:t>(</w:t>
            </w:r>
            <w:proofErr w:type="spellStart"/>
            <w:r w:rsidRPr="00B11300">
              <w:rPr>
                <w:rStyle w:val="Nmerodepgina"/>
                <w:rFonts w:ascii="Palatino Linotype" w:hAnsi="Palatino Linotype"/>
                <w:lang w:val="es-ES"/>
              </w:rPr>
              <w:t>andrea.fleschenberg@hu-berlin.de</w:t>
            </w:r>
            <w:proofErr w:type="spellEnd"/>
            <w:r w:rsidRPr="00B11300">
              <w:rPr>
                <w:rStyle w:val="Nmerodepgina"/>
                <w:rFonts w:ascii="Palatino Linotype" w:hAnsi="Palatino Linotype"/>
                <w:lang w:val="es-ES"/>
              </w:rPr>
              <w:t>)</w:t>
            </w:r>
          </w:p>
          <w:p w14:paraId="1C96E9B1" w14:textId="77777777" w:rsidR="007B30A6" w:rsidRPr="00B11300" w:rsidRDefault="007B30A6" w:rsidP="009F7F95">
            <w:pPr>
              <w:spacing w:line="276" w:lineRule="auto"/>
              <w:jc w:val="center"/>
              <w:rPr>
                <w:rFonts w:ascii="Palatino Linotype" w:hAnsi="Palatino Linotype"/>
                <w:lang w:val="es-ES"/>
              </w:rPr>
            </w:pPr>
          </w:p>
          <w:p w14:paraId="648FDB1A" w14:textId="60AEB2B9" w:rsidR="007B30A6" w:rsidRPr="00484B5F" w:rsidRDefault="007B30A6" w:rsidP="00F761A0">
            <w:pPr>
              <w:rPr>
                <w:rFonts w:ascii="Palatino Linotype" w:hAnsi="Palatino Linotype"/>
                <w:b/>
                <w:color w:val="632423" w:themeColor="accent2" w:themeShade="80"/>
                <w:lang w:val="es-ES"/>
              </w:rPr>
            </w:pPr>
            <w:r w:rsidRPr="00484B5F">
              <w:rPr>
                <w:rStyle w:val="Nmerodepgina"/>
                <w:rFonts w:ascii="Palatino Linotype" w:hAnsi="Palatino Linotype"/>
                <w:b/>
                <w:bCs/>
                <w:color w:val="632423" w:themeColor="accent2" w:themeShade="80"/>
                <w:lang w:val="es-ES"/>
              </w:rPr>
              <w:t>Fecha para el envío de artículos: 17 de Mayo de 2019</w:t>
            </w:r>
          </w:p>
          <w:p w14:paraId="7DD5704C" w14:textId="022C72AB" w:rsidR="007B30A6" w:rsidRPr="007B30A6" w:rsidRDefault="007B30A6" w:rsidP="00F761A0">
            <w:pPr>
              <w:rPr>
                <w:lang w:val="es-ES"/>
              </w:rPr>
            </w:pPr>
            <w:r w:rsidRPr="00484B5F">
              <w:rPr>
                <w:rStyle w:val="Nmerodepgina"/>
                <w:rFonts w:ascii="Palatino Linotype" w:hAnsi="Palatino Linotype"/>
                <w:b/>
                <w:bCs/>
                <w:color w:val="632423" w:themeColor="accent2" w:themeShade="80"/>
                <w:lang w:val="es-ES"/>
              </w:rPr>
              <w:t xml:space="preserve">(a publicar hasta </w:t>
            </w:r>
            <w:r w:rsidR="00F761A0" w:rsidRPr="00484B5F">
              <w:rPr>
                <w:rStyle w:val="Nmerodepgina"/>
                <w:rFonts w:ascii="Palatino Linotype" w:hAnsi="Palatino Linotype"/>
                <w:b/>
                <w:bCs/>
                <w:color w:val="632423" w:themeColor="accent2" w:themeShade="80"/>
                <w:lang w:val="es-ES"/>
              </w:rPr>
              <w:t>diciembre</w:t>
            </w:r>
            <w:r w:rsidRPr="00484B5F">
              <w:rPr>
                <w:rStyle w:val="Nmerodepgina"/>
                <w:rFonts w:ascii="Palatino Linotype" w:hAnsi="Palatino Linotype"/>
                <w:b/>
                <w:bCs/>
                <w:color w:val="632423" w:themeColor="accent2" w:themeShade="80"/>
                <w:lang w:val="es-ES"/>
              </w:rPr>
              <w:t xml:space="preserve"> de 2019)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85555" w14:textId="77777777" w:rsidR="00F761A0" w:rsidRPr="00B11300" w:rsidRDefault="00F761A0" w:rsidP="009F7F95">
            <w:pPr>
              <w:spacing w:line="360" w:lineRule="auto"/>
              <w:jc w:val="center"/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  <w:lang w:val="es-ES"/>
              </w:rPr>
            </w:pPr>
          </w:p>
          <w:p w14:paraId="00421D7B" w14:textId="0852C94A" w:rsidR="007B30A6" w:rsidRDefault="00F761A0" w:rsidP="009F7F95">
            <w:pPr>
              <w:spacing w:line="360" w:lineRule="auto"/>
              <w:jc w:val="center"/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  <w:t>Indexación:</w:t>
            </w:r>
          </w:p>
          <w:p w14:paraId="0371B38E" w14:textId="77777777" w:rsidR="007B30A6" w:rsidRPr="00062F07" w:rsidRDefault="007B30A6" w:rsidP="009F7F95">
            <w:pPr>
              <w:spacing w:line="360" w:lineRule="auto"/>
              <w:jc w:val="center"/>
              <w:rPr>
                <w:b/>
                <w:lang w:val="fr-FR"/>
              </w:rPr>
            </w:pPr>
            <w:r w:rsidRPr="005E6802"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006BAA7A" wp14:editId="3D77C238">
                  <wp:extent cx="1126828" cy="346098"/>
                  <wp:effectExtent l="0" t="0" r="0" b="0"/>
                  <wp:docPr id="8" name="Imagem 8" descr="http://exaequo.apem-estudos.org/theme/apem/images/scopus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xaequo.apem-estudos.org/theme/apem/images/scopus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87" cy="36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20715" w14:textId="77777777" w:rsidR="007B30A6" w:rsidRDefault="007B30A6" w:rsidP="009F7F95">
            <w:pPr>
              <w:spacing w:line="360" w:lineRule="auto"/>
              <w:jc w:val="center"/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</w:pPr>
            <w:r w:rsidRPr="005E6802"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3662A527" wp14:editId="0166A110">
                  <wp:extent cx="1161025" cy="533697"/>
                  <wp:effectExtent l="0" t="0" r="1270" b="0"/>
                  <wp:docPr id="10" name="Imagem 10" descr="http://exaequo.apem-estudos.org/theme/apem/images/scielo.gif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xaequo.apem-estudos.org/theme/apem/images/scielo.gif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37" cy="54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69731" w14:textId="77777777" w:rsidR="007B30A6" w:rsidRDefault="007B30A6" w:rsidP="009F7F95">
            <w:pPr>
              <w:spacing w:line="360" w:lineRule="auto"/>
              <w:jc w:val="center"/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</w:pPr>
            <w:r w:rsidRPr="005E6802"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593D98C2" wp14:editId="2B1A424A">
                  <wp:extent cx="1376956" cy="366395"/>
                  <wp:effectExtent l="0" t="0" r="0" b="0"/>
                  <wp:docPr id="7" name="Imagem 7" descr="http://exaequo.apem-estudos.org/theme/apem/images/scielo_citation_index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xaequo.apem-estudos.org/theme/apem/images/scielo_citation_index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03" cy="39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30F57" w14:textId="77777777" w:rsidR="007B30A6" w:rsidRPr="00892334" w:rsidRDefault="007B30A6" w:rsidP="009F7F95">
            <w:pPr>
              <w:spacing w:line="360" w:lineRule="auto"/>
              <w:jc w:val="center"/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</w:pPr>
            <w:r w:rsidRPr="005E6802"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296DE0D5" wp14:editId="77571DF2">
                  <wp:extent cx="1227667" cy="294640"/>
                  <wp:effectExtent l="0" t="0" r="0" b="0"/>
                  <wp:docPr id="4" name="Imagem 4" descr="http://exaequo.apem-estudos.org/theme/apem/images/doaj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xaequo.apem-estudos.org/theme/apem/images/doaj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131" cy="30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03C99" w14:textId="77777777" w:rsidR="007B30A6" w:rsidRDefault="007B30A6" w:rsidP="009F7F95">
            <w:pPr>
              <w:spacing w:line="360" w:lineRule="auto"/>
              <w:jc w:val="center"/>
              <w:rPr>
                <w:b/>
                <w:lang w:val="fr-FR"/>
              </w:rPr>
            </w:pPr>
            <w:r w:rsidRPr="005E6802"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6424D38F" wp14:editId="73D4FE85">
                  <wp:extent cx="1277547" cy="376373"/>
                  <wp:effectExtent l="0" t="0" r="0" b="5080"/>
                  <wp:docPr id="3" name="Imagem 3" descr="http://exaequo.apem-estudos.org/theme/apem/images/erihplus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xaequo.apem-estudos.org/theme/apem/images/erihplus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25" cy="39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171B4" w14:textId="77777777" w:rsidR="007B30A6" w:rsidRDefault="007B30A6" w:rsidP="009F7F95">
            <w:pPr>
              <w:spacing w:line="360" w:lineRule="auto"/>
              <w:jc w:val="center"/>
              <w:rPr>
                <w:b/>
                <w:lang w:val="fr-FR"/>
              </w:rPr>
            </w:pPr>
            <w:r w:rsidRPr="005E6802">
              <w:rPr>
                <w:rFonts w:ascii="Arial" w:hAnsi="Arial" w:cs="Arial"/>
                <w:noProof/>
                <w:color w:val="A25D5D"/>
                <w:spacing w:val="-14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4D3531E5" wp14:editId="0CC80885">
                  <wp:extent cx="1356404" cy="619125"/>
                  <wp:effectExtent l="0" t="0" r="0" b="0"/>
                  <wp:docPr id="2" name="Imagem 2" descr="http://exaequo.apem-estudos.org/theme/apem/images/latindex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xaequo.apem-estudos.org/theme/apem/images/latindex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74" cy="62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3E21B" w14:textId="77777777" w:rsidR="007B30A6" w:rsidRPr="00641EA0" w:rsidRDefault="007B30A6" w:rsidP="009F7F95">
            <w:pPr>
              <w:spacing w:line="360" w:lineRule="auto"/>
              <w:jc w:val="center"/>
              <w:rPr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0FB8020" wp14:editId="7B6F3319">
                  <wp:extent cx="1494720" cy="240223"/>
                  <wp:effectExtent l="0" t="0" r="0" b="7620"/>
                  <wp:docPr id="6" name="Imagem 6" descr="SHERPA/RoME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RPA/RoME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231" cy="26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0A6" w:rsidRPr="00484B5F" w14:paraId="3B7B2417" w14:textId="77777777" w:rsidTr="004D261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A008177" w14:textId="77777777" w:rsidR="007B30A6" w:rsidRPr="00484B5F" w:rsidRDefault="007B30A6" w:rsidP="009F7F95">
            <w:pPr>
              <w:rPr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389D3" w14:textId="77777777" w:rsidR="007B30A6" w:rsidRPr="00484B5F" w:rsidRDefault="007B30A6" w:rsidP="009F7F95">
            <w:pPr>
              <w:rPr>
                <w:lang w:val="es-ES"/>
              </w:rPr>
            </w:pPr>
          </w:p>
        </w:tc>
      </w:tr>
    </w:tbl>
    <w:p w14:paraId="7679016B" w14:textId="61E9F42D" w:rsidR="00484B5F" w:rsidRPr="00484B5F" w:rsidRDefault="00484B5F" w:rsidP="00484B5F">
      <w:pPr>
        <w:pStyle w:val="Body"/>
        <w:spacing w:after="120" w:line="276" w:lineRule="auto"/>
        <w:jc w:val="center"/>
        <w:rPr>
          <w:rFonts w:ascii="Palatino Linotype" w:hAnsi="Palatino Linotype"/>
          <w:b/>
          <w:color w:val="632423" w:themeColor="accent2" w:themeShade="80"/>
          <w:sz w:val="22"/>
          <w:lang w:val="es-ES"/>
        </w:rPr>
      </w:pPr>
      <w:r w:rsidRPr="00484B5F">
        <w:rPr>
          <w:rFonts w:ascii="Palatino Linotype" w:hAnsi="Palatino Linotype"/>
          <w:b/>
          <w:color w:val="632423" w:themeColor="accent2" w:themeShade="80"/>
          <w:lang w:val="es-ES"/>
        </w:rPr>
        <w:t>Además de los envíos para los dossiers temáticos, la revista acepta permanentemente contribuciones a las secciones de Estudios y Ensayos y Reseña.</w:t>
      </w:r>
    </w:p>
    <w:p w14:paraId="2D391021" w14:textId="77777777" w:rsidR="00484B5F" w:rsidRDefault="00484B5F" w:rsidP="00484B5F">
      <w:pPr>
        <w:pStyle w:val="Body"/>
        <w:spacing w:after="120"/>
        <w:ind w:firstLine="720"/>
        <w:jc w:val="both"/>
        <w:rPr>
          <w:rStyle w:val="Nmerodepgina"/>
          <w:rFonts w:ascii="Palatino Linotype" w:hAnsi="Palatino Linotype"/>
          <w:i/>
          <w:sz w:val="22"/>
          <w:lang w:val="es-ES"/>
        </w:rPr>
      </w:pPr>
    </w:p>
    <w:p w14:paraId="73DDD296" w14:textId="662F3D56" w:rsidR="00CF34A7" w:rsidRPr="00F761A0" w:rsidRDefault="009E0C40" w:rsidP="00484B5F">
      <w:pPr>
        <w:pStyle w:val="Body"/>
        <w:spacing w:after="80"/>
        <w:ind w:firstLine="720"/>
        <w:jc w:val="both"/>
        <w:rPr>
          <w:rStyle w:val="Nmerodepgina"/>
          <w:rFonts w:ascii="Palatino Linotype" w:hAnsi="Palatino Linotype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B9111B" w:rsidRPr="00F761A0">
        <w:rPr>
          <w:rStyle w:val="Nmerodepgina"/>
          <w:rFonts w:ascii="Palatino Linotype" w:hAnsi="Palatino Linotype"/>
          <w:sz w:val="22"/>
          <w:lang w:val="es-ES"/>
        </w:rPr>
        <w:t xml:space="preserve">constituye un elemento fundamental de la relación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entre </w:t>
      </w:r>
      <w:r w:rsidR="00B9111B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os estados </w:t>
      </w:r>
      <w:r w:rsidR="00B9111B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B9111B" w:rsidRPr="00F761A0">
        <w:rPr>
          <w:rStyle w:val="Nmerodepgina"/>
          <w:rFonts w:ascii="Palatino Linotype" w:hAnsi="Palatino Linotype"/>
          <w:sz w:val="22"/>
          <w:lang w:val="es-ES"/>
        </w:rPr>
        <w:t xml:space="preserve">los agentes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internaciona</w:t>
      </w:r>
      <w:r w:rsidR="00B9111B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>Refiriéndose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 xml:space="preserve"> a un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conjunto de 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 xml:space="preserve">creencias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cole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tivas 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 xml:space="preserve">compartidas sobre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posi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cada 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>uno de los agentes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 xml:space="preserve">estas percepciones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determina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A32304" w:rsidRPr="00F761A0">
        <w:rPr>
          <w:rStyle w:val="Nmerodepgina"/>
          <w:rFonts w:ascii="Palatino Linotype" w:hAnsi="Palatino Linotype"/>
          <w:sz w:val="22"/>
          <w:lang w:val="es-ES"/>
        </w:rPr>
        <w:t xml:space="preserve">quién logra lo qué, cuándo y las condiciones en las que </w:t>
      </w:r>
      <w:r w:rsidR="00CE2D30" w:rsidRPr="00F761A0">
        <w:rPr>
          <w:rStyle w:val="Nmerodepgina"/>
          <w:rFonts w:ascii="Palatino Linotype" w:hAnsi="Palatino Linotype"/>
          <w:sz w:val="22"/>
          <w:lang w:val="es-ES"/>
        </w:rPr>
        <w:t>lo hace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  <w:r w:rsidR="00CE2D30" w:rsidRPr="00F761A0">
        <w:rPr>
          <w:rStyle w:val="Nmerodepgina"/>
          <w:rFonts w:ascii="Palatino Linotype" w:hAnsi="Palatino Linotype"/>
          <w:sz w:val="22"/>
          <w:lang w:val="es-ES"/>
        </w:rPr>
        <w:t xml:space="preserve">Estas percepciones </w:t>
      </w:r>
      <w:r w:rsidR="005509D5" w:rsidRPr="00F761A0">
        <w:rPr>
          <w:rStyle w:val="Nmerodepgina"/>
          <w:rFonts w:ascii="Palatino Linotype" w:hAnsi="Palatino Linotype"/>
          <w:sz w:val="22"/>
          <w:lang w:val="es-ES"/>
        </w:rPr>
        <w:t>clarifican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CE2D30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os d</w:t>
      </w:r>
      <w:r w:rsidR="00CE2D30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re</w:t>
      </w:r>
      <w:r w:rsidR="00CE2D30" w:rsidRPr="00F761A0">
        <w:rPr>
          <w:rStyle w:val="Nmerodepgina"/>
          <w:rFonts w:ascii="Palatino Linotype" w:hAnsi="Palatino Linotype"/>
          <w:sz w:val="22"/>
          <w:lang w:val="es-ES"/>
        </w:rPr>
        <w:t>chos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,</w:t>
      </w:r>
      <w:r w:rsidR="00CE2D30" w:rsidRPr="00F761A0">
        <w:rPr>
          <w:rStyle w:val="Nmerodepgina"/>
          <w:rFonts w:ascii="Palatino Linotype" w:hAnsi="Palatino Linotype"/>
          <w:sz w:val="22"/>
          <w:lang w:val="es-ES"/>
        </w:rPr>
        <w:t xml:space="preserve"> las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ob</w:t>
      </w:r>
      <w:r w:rsidR="00CE2D30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iga</w:t>
      </w:r>
      <w:r w:rsidR="00CE2D30" w:rsidRPr="00F761A0">
        <w:rPr>
          <w:rStyle w:val="Nmerodepgina"/>
          <w:rFonts w:ascii="Palatino Linotype" w:hAnsi="Palatino Linotype"/>
          <w:sz w:val="22"/>
          <w:lang w:val="es-ES"/>
        </w:rPr>
        <w:t>ciones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2289A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2289A" w:rsidRPr="00F761A0">
        <w:rPr>
          <w:rStyle w:val="Nmerodepgina"/>
          <w:rFonts w:ascii="Palatino Linotype" w:hAnsi="Palatino Linotype"/>
          <w:sz w:val="22"/>
          <w:lang w:val="es-ES"/>
        </w:rPr>
        <w:t xml:space="preserve">los </w:t>
      </w:r>
      <w:r w:rsidR="005509D5" w:rsidRPr="00F761A0">
        <w:rPr>
          <w:rStyle w:val="Nmerodepgina"/>
          <w:rFonts w:ascii="Palatino Linotype" w:hAnsi="Palatino Linotype"/>
          <w:sz w:val="22"/>
          <w:lang w:val="es-ES"/>
        </w:rPr>
        <w:t>estándares de re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>fer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ncia que 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 xml:space="preserve">un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tor 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 xml:space="preserve">puede </w:t>
      </w:r>
      <w:r w:rsidR="005509D5" w:rsidRPr="00F761A0">
        <w:rPr>
          <w:rStyle w:val="Nmerodepgina"/>
          <w:rFonts w:ascii="Palatino Linotype" w:hAnsi="Palatino Linotype"/>
          <w:sz w:val="22"/>
          <w:lang w:val="es-ES"/>
        </w:rPr>
        <w:t>anticipar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, as</w:t>
      </w:r>
      <w:r w:rsidR="00B11300">
        <w:rPr>
          <w:rStyle w:val="Nmerodepgina"/>
          <w:rFonts w:ascii="Palatino Linotype" w:hAnsi="Palatino Linotype"/>
          <w:sz w:val="22"/>
          <w:lang w:val="es-ES"/>
        </w:rPr>
        <w:t>í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como 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as expectativas 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 xml:space="preserve">con respecto a los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comportam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 xml:space="preserve">ientos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para </w:t>
      </w:r>
      <w:r w:rsidR="00A36A3C" w:rsidRPr="00F761A0">
        <w:rPr>
          <w:rStyle w:val="Nmerodepgina"/>
          <w:rFonts w:ascii="Palatino Linotype" w:hAnsi="Palatino Linotype"/>
          <w:sz w:val="22"/>
          <w:lang w:val="es-ES"/>
        </w:rPr>
        <w:t xml:space="preserve">con los que 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 xml:space="preserve">están en posiciones dominantes 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subordinadas. 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>Se considera que o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 xml:space="preserve">btener </w:t>
      </w:r>
      <w:r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 xml:space="preserve"> es </w:t>
      </w:r>
      <w:r w:rsidR="005509D5" w:rsidRPr="00F761A0">
        <w:rPr>
          <w:rStyle w:val="Nmerodepgina"/>
          <w:rFonts w:ascii="Palatino Linotype" w:hAnsi="Palatino Linotype"/>
          <w:sz w:val="22"/>
          <w:lang w:val="es-ES"/>
        </w:rPr>
        <w:t xml:space="preserve">sumamente 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>deseable ya que 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a </w:t>
      </w:r>
      <w:r w:rsidR="005509D5" w:rsidRPr="00F761A0">
        <w:rPr>
          <w:rStyle w:val="Nmerodepgina"/>
          <w:rFonts w:ascii="Palatino Linotype" w:hAnsi="Palatino Linotype"/>
          <w:sz w:val="22"/>
          <w:lang w:val="es-ES"/>
        </w:rPr>
        <w:t>adquisición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 xml:space="preserve">implica un tratamiento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favor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 xml:space="preserve">able en diversas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esferas (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Weiss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e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Fershtman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1998, 802)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 xml:space="preserve"> y también 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 xml:space="preserve">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capacidad de 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>acceder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a países </w:t>
      </w:r>
      <w:r w:rsidR="00084C9B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grupos, 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 xml:space="preserve">de influenciar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defini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>e 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 agenda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 xml:space="preserve"> y </w:t>
      </w:r>
      <w:r w:rsidR="005509D5" w:rsidRPr="00F761A0">
        <w:rPr>
          <w:rStyle w:val="Nmerodepgina"/>
          <w:rFonts w:ascii="Palatino Linotype" w:hAnsi="Palatino Linotype"/>
          <w:sz w:val="22"/>
          <w:lang w:val="es-ES"/>
        </w:rPr>
        <w:t xml:space="preserve">de lograr 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>beneficios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materia</w:t>
      </w:r>
      <w:r w:rsidR="00FA58D9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(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Jakobsen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Ringsmose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e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Saxi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2018, 2)</w:t>
      </w:r>
      <w:r w:rsidR="005509D5" w:rsidRPr="00F761A0">
        <w:rPr>
          <w:rStyle w:val="Nmerodepgina"/>
          <w:rFonts w:ascii="Palatino Linotype" w:hAnsi="Palatino Linotype"/>
          <w:sz w:val="22"/>
          <w:lang w:val="es-ES"/>
        </w:rPr>
        <w:t>.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</w:p>
    <w:p w14:paraId="1FE4C3CC" w14:textId="5757D2C1" w:rsidR="00CF34A7" w:rsidRPr="00F761A0" w:rsidRDefault="005509D5" w:rsidP="00484B5F">
      <w:pPr>
        <w:pStyle w:val="Body"/>
        <w:spacing w:after="80"/>
        <w:ind w:firstLine="720"/>
        <w:jc w:val="both"/>
        <w:rPr>
          <w:rStyle w:val="Nmerodepgina"/>
          <w:rFonts w:ascii="Palatino Linotype" w:hAnsi="Palatino Linotype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Las creencias inherentes a la idea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se basan en el valor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otorgado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a los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a atributos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tanto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materia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como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>inmateriales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Nos referimos, entre </w:t>
      </w:r>
      <w:r w:rsidR="00F141D6" w:rsidRPr="00F761A0">
        <w:rPr>
          <w:rStyle w:val="Nmerodepgina"/>
          <w:rFonts w:ascii="Palatino Linotype" w:hAnsi="Palatino Linotype"/>
          <w:sz w:val="22"/>
          <w:lang w:val="es-ES"/>
        </w:rPr>
        <w:t>o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>tros, a la riqueza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las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capacidades coercitivas,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cultura,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la situación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demográfica,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la organización sociopolítica y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influ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encia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diplom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>á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tica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>. Nos referimos también a la capacidad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>del 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stado o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de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organiza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 ad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herir a los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>estándares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F141D6" w:rsidRPr="00F761A0">
        <w:rPr>
          <w:rStyle w:val="Nmerodepgina"/>
          <w:rFonts w:ascii="Palatino Linotype" w:hAnsi="Palatino Linotype"/>
          <w:sz w:val="22"/>
          <w:lang w:val="es-ES"/>
        </w:rPr>
        <w:t xml:space="preserve">de civilización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>e 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a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>é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poca (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Larson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Paul e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Wohlforth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2014, 7, 20-21, 25; Neumann 2014, 85-114).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>Todos esto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s </w:t>
      </w:r>
      <w:r w:rsidR="00D55BC0" w:rsidRPr="00F761A0">
        <w:rPr>
          <w:rStyle w:val="Nmerodepgina"/>
          <w:rFonts w:ascii="Palatino Linotype" w:hAnsi="Palatino Linotype"/>
          <w:sz w:val="22"/>
          <w:lang w:val="es-ES"/>
        </w:rPr>
        <w:t xml:space="preserve">indicadores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 xml:space="preserve">adquieren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contornos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>distintos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 xml:space="preserve">con variaciones a lo largo de un continuum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entre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estigma,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>según el momento histórico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 xml:space="preserve">y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localiza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geográfica.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>Lo que entendemos por “bueno” y “deseable” desde el punto de vista de la cultura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 xml:space="preserve">la civilización, la organización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>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ciopolítica, </w:t>
      </w:r>
      <w:r w:rsidR="00D45493" w:rsidRPr="00F761A0">
        <w:rPr>
          <w:rStyle w:val="Nmerodepgina"/>
          <w:rFonts w:ascii="Palatino Linotype" w:hAnsi="Palatino Linotype"/>
          <w:sz w:val="22"/>
          <w:lang w:val="es-ES"/>
        </w:rPr>
        <w:t xml:space="preserve">entre otros, no es hermético ni tampoco inmutable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(ver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Zarakol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2014, 319-324;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Renshon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2017, 36). </w:t>
      </w:r>
    </w:p>
    <w:p w14:paraId="263833F7" w14:textId="3CD9EF06" w:rsidR="00CF34A7" w:rsidRPr="00F761A0" w:rsidRDefault="00181CA1" w:rsidP="00484B5F">
      <w:pPr>
        <w:pStyle w:val="Body"/>
        <w:spacing w:after="80"/>
        <w:ind w:firstLine="720"/>
        <w:jc w:val="both"/>
        <w:rPr>
          <w:rStyle w:val="Nmerodepgina"/>
          <w:rFonts w:ascii="Palatino Linotype" w:hAnsi="Palatino Linotype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lastRenderedPageBreak/>
        <w:t xml:space="preserve">En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evolu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normativa d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e la sociedad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internacional,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en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que valores como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 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discrimina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ción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 prote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cción ambiental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el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humanitarismo, entre otros (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Mozaffari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2001; Gong 2002, 82),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siguen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ocupa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do cada vez m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ás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espa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cio en la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estructuración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las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jerarquías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socia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poder entre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os estados,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os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derechos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e 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as mu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jeres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ocupa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u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lugar singular.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Generalmente, considerados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como indicativos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del nivel de ‘avanz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o’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y de ‘modernidad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’ de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un 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estado (ver,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e.g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.,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Jayawardena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1994;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Towns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2007, 2016; Abu-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Lughod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2009),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los derechos de las mujeres vienen siendo plateados como un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elemento central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de las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políticas externas de países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 xml:space="preserve">tan distintos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como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Suecia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7D25E4" w:rsidRPr="00F761A0">
        <w:rPr>
          <w:rStyle w:val="Nmerodepgina"/>
          <w:rFonts w:ascii="Palatino Linotype" w:hAnsi="Palatino Linotype"/>
          <w:sz w:val="22"/>
          <w:lang w:val="es-ES"/>
        </w:rPr>
        <w:t>y los Emiratos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Árabes Unidos.</w:t>
      </w:r>
    </w:p>
    <w:p w14:paraId="6CB8CA88" w14:textId="7D38EA74" w:rsidR="00CF34A7" w:rsidRPr="00F761A0" w:rsidRDefault="00C218A7" w:rsidP="00484B5F">
      <w:pPr>
        <w:pStyle w:val="Body"/>
        <w:spacing w:after="80"/>
        <w:ind w:firstLine="720"/>
        <w:jc w:val="both"/>
        <w:rPr>
          <w:rFonts w:ascii="Palatino Linotype" w:hAnsi="Palatino Linotype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>Por otra parte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en el campo de las relaciones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en el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norte,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y entre el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norte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y el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su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r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globa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han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ocurrido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desde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a década de 90,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una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série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de interven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–militares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y no</w:t>
      </w:r>
      <w:r w:rsidR="0085782C" w:rsidRPr="00F761A0">
        <w:rPr>
          <w:rStyle w:val="Nmerodepgina"/>
          <w:rFonts w:ascii="Palatino Linotype" w:hAnsi="Palatino Linotype"/>
          <w:sz w:val="22"/>
          <w:lang w:val="es-ES"/>
        </w:rPr>
        <w:t>-militares –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 y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opera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 asist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ncia oficial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en el cuadro del apoyo al desarrollo que incorporaban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preocupa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con los derechos de las mujeres y/o con el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mainstream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de g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é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nero (por e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j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emplo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,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os casos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Afganistán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Iraquí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 Balcanes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). Estas interven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se han vuelto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controversias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 –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teniendo en cuenta los 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contextos </w:t>
      </w:r>
      <w:r w:rsidR="00A269F9" w:rsidRPr="00F761A0">
        <w:rPr>
          <w:rStyle w:val="Nmerodepgina"/>
          <w:rFonts w:ascii="Palatino Linotype" w:hAnsi="Palatino Linotype"/>
          <w:sz w:val="22"/>
          <w:lang w:val="es-ES"/>
        </w:rPr>
        <w:t>pr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>existentes</w:t>
      </w:r>
      <w:r w:rsidR="00A269F9" w:rsidRPr="00F761A0">
        <w:rPr>
          <w:rStyle w:val="Nmerodepgina"/>
          <w:rFonts w:ascii="Palatino Linotype" w:hAnsi="Palatino Linotype"/>
          <w:sz w:val="22"/>
          <w:lang w:val="es-ES"/>
        </w:rPr>
        <w:t xml:space="preserve"> de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los 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>legados colonia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les y 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las 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geopolíticas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neo imperiales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>–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 pero, por otra parte, han 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>ge</w:t>
      </w:r>
      <w:r w:rsidR="00A418D0" w:rsidRPr="00F761A0">
        <w:rPr>
          <w:rStyle w:val="Nmerodepgina"/>
          <w:rFonts w:ascii="Palatino Linotype" w:hAnsi="Palatino Linotype"/>
          <w:sz w:val="22"/>
          <w:lang w:val="es-ES"/>
        </w:rPr>
        <w:t xml:space="preserve">nerado 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iniciativas,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no solo por parte de instituciones gubernamentales en las áreas 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proofErr w:type="spellStart"/>
      <w:r w:rsidR="000B0A7A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policy-making</w:t>
      </w:r>
      <w:proofErr w:type="spellEnd"/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sino también por parte de la 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>soci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edad</w:t>
      </w:r>
      <w:r w:rsidR="000B0A7A" w:rsidRPr="00F761A0">
        <w:rPr>
          <w:rStyle w:val="Nmerodepgina"/>
          <w:rFonts w:ascii="Palatino Linotype" w:hAnsi="Palatino Linotype"/>
          <w:sz w:val="22"/>
          <w:lang w:val="es-ES"/>
        </w:rPr>
        <w:t xml:space="preserve"> civil.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 xml:space="preserve"> Movim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i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>entos transnaciona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les  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>de mu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je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 xml:space="preserve">res, redes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 xml:space="preserve"> alian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z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 xml:space="preserve">as,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así como 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>organiza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>loca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 xml:space="preserve"> de mu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je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 xml:space="preserve">res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>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E73E62" w:rsidRPr="00F761A0">
        <w:rPr>
          <w:rStyle w:val="Nmerodepgina"/>
          <w:rFonts w:ascii="Palatino Linotype" w:hAnsi="Palatino Linotype"/>
          <w:sz w:val="22"/>
          <w:lang w:val="es-ES"/>
        </w:rPr>
        <w:t xml:space="preserve">tivistas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han desempeñado un role </w:t>
      </w:r>
      <w:r w:rsidR="00412E49" w:rsidRPr="00F761A0">
        <w:rPr>
          <w:rStyle w:val="Nmerodepgina"/>
          <w:rFonts w:ascii="Palatino Linotype" w:hAnsi="Palatino Linotype"/>
          <w:sz w:val="22"/>
          <w:lang w:val="es-ES"/>
        </w:rPr>
        <w:t>relevante</w:t>
      </w:r>
      <w:r w:rsidR="00D121A4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en estas </w:t>
      </w:r>
      <w:r w:rsidR="00D121A4" w:rsidRPr="00F761A0">
        <w:rPr>
          <w:rStyle w:val="Nmerodepgina"/>
          <w:rFonts w:ascii="Palatino Linotype" w:hAnsi="Palatino Linotype"/>
          <w:sz w:val="22"/>
          <w:lang w:val="es-ES"/>
        </w:rPr>
        <w:t>configura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ciones</w:t>
      </w:r>
      <w:r w:rsidR="00D121A4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con frecuencia pautadas </w:t>
      </w:r>
      <w:r w:rsidR="00D121A4" w:rsidRPr="00F761A0">
        <w:rPr>
          <w:rStyle w:val="Nmerodepgina"/>
          <w:rFonts w:ascii="Palatino Linotype" w:hAnsi="Palatino Linotype"/>
          <w:sz w:val="22"/>
          <w:lang w:val="es-ES"/>
        </w:rPr>
        <w:t>por constela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="00D121A4" w:rsidRPr="00F761A0">
        <w:rPr>
          <w:rStyle w:val="Nmerodepgina"/>
          <w:rFonts w:ascii="Palatino Linotype" w:hAnsi="Palatino Linotype"/>
          <w:sz w:val="22"/>
          <w:lang w:val="es-ES"/>
        </w:rPr>
        <w:t>de confli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D121A4" w:rsidRPr="00F761A0">
        <w:rPr>
          <w:rStyle w:val="Nmerodepgina"/>
          <w:rFonts w:ascii="Palatino Linotype" w:hAnsi="Palatino Linotype"/>
          <w:sz w:val="22"/>
          <w:lang w:val="es-ES"/>
        </w:rPr>
        <w:t xml:space="preserve">to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y de ruptura a nivel macro y a nivel meso</w:t>
      </w:r>
      <w:r w:rsidR="00D121A4"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Se subraye </w:t>
      </w:r>
      <w:r w:rsidR="003B4D2F" w:rsidRPr="00F761A0">
        <w:rPr>
          <w:rStyle w:val="Nmerodepgina"/>
          <w:rFonts w:ascii="Palatino Linotype" w:hAnsi="Palatino Linotype"/>
          <w:sz w:val="22"/>
          <w:lang w:val="es-ES"/>
        </w:rPr>
        <w:t xml:space="preserve">las acciones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 organiza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y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movim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ientos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transnaciona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les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como</w:t>
      </w:r>
      <w:r w:rsidR="0085782C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sz w:val="22"/>
          <w:lang w:val="es-ES"/>
        </w:rPr>
        <w:t>Women</w:t>
      </w:r>
      <w:proofErr w:type="spellEnd"/>
      <w:r w:rsidR="006A6B58" w:rsidRPr="00F761A0">
        <w:rPr>
          <w:rStyle w:val="Nmerodepgina"/>
          <w:rFonts w:ascii="Palatino Linotype" w:hAnsi="Palatino Linotype"/>
          <w:i/>
          <w:sz w:val="22"/>
          <w:lang w:val="es-ES"/>
        </w:rPr>
        <w:t xml:space="preserve"> Living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sz w:val="22"/>
          <w:lang w:val="es-ES"/>
        </w:rPr>
        <w:t>under</w:t>
      </w:r>
      <w:proofErr w:type="spellEnd"/>
      <w:r w:rsidR="006A6B58" w:rsidRPr="00F761A0">
        <w:rPr>
          <w:rStyle w:val="Nmerodepgina"/>
          <w:rFonts w:ascii="Palatino Linotype" w:hAnsi="Palatino Linotype"/>
          <w:i/>
          <w:sz w:val="22"/>
          <w:lang w:val="es-ES"/>
        </w:rPr>
        <w:t xml:space="preserve">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sz w:val="22"/>
          <w:lang w:val="es-ES"/>
        </w:rPr>
        <w:t>Muslim</w:t>
      </w:r>
      <w:proofErr w:type="spellEnd"/>
      <w:r w:rsidR="006A6B58" w:rsidRPr="00F761A0">
        <w:rPr>
          <w:rStyle w:val="Nmerodepgina"/>
          <w:rFonts w:ascii="Palatino Linotype" w:hAnsi="Palatino Linotype"/>
          <w:i/>
          <w:sz w:val="22"/>
          <w:lang w:val="es-ES"/>
        </w:rPr>
        <w:t xml:space="preserve">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sz w:val="22"/>
          <w:lang w:val="es-ES"/>
        </w:rPr>
        <w:t>Laws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(WLUML)</w:t>
      </w:r>
      <w:r w:rsidR="00414B33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y 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sz w:val="22"/>
          <w:lang w:val="es-ES"/>
        </w:rPr>
        <w:t>Musawah</w:t>
      </w:r>
      <w:proofErr w:type="spellEnd"/>
      <w:r w:rsidR="003B4D2F" w:rsidRPr="00F761A0">
        <w:rPr>
          <w:rStyle w:val="Nmerodepgina"/>
          <w:rFonts w:ascii="Palatino Linotype" w:hAnsi="Palatino Linotype"/>
          <w:i/>
          <w:sz w:val="22"/>
          <w:lang w:val="es-ES"/>
        </w:rPr>
        <w:t>;</w:t>
      </w:r>
      <w:r w:rsidR="0063735A" w:rsidRPr="00F761A0">
        <w:rPr>
          <w:rStyle w:val="Nmerodepgina"/>
          <w:rFonts w:ascii="Palatino Linotype" w:hAnsi="Palatino Linotype"/>
          <w:i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regiona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como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Women’s</w:t>
      </w:r>
      <w:proofErr w:type="spellEnd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Regional Network</w:t>
      </w:r>
      <w:r w:rsidR="0063735A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r w:rsidR="0063735A" w:rsidRPr="00F761A0">
        <w:rPr>
          <w:rStyle w:val="Nmerodepgina"/>
          <w:rFonts w:ascii="Palatino Linotype" w:hAnsi="Palatino Linotype"/>
          <w:iCs/>
          <w:sz w:val="22"/>
          <w:lang w:val="es-ES"/>
        </w:rPr>
        <w:t>o</w:t>
      </w:r>
      <w:r w:rsidR="0063735A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iCs/>
          <w:sz w:val="22"/>
          <w:lang w:val="es-ES"/>
        </w:rPr>
        <w:t>loca</w:t>
      </w:r>
      <w:r w:rsidR="0063735A" w:rsidRPr="00F761A0">
        <w:rPr>
          <w:rStyle w:val="Nmerodepgina"/>
          <w:rFonts w:ascii="Palatino Linotype" w:hAnsi="Palatino Linotype"/>
          <w:iCs/>
          <w:sz w:val="22"/>
          <w:lang w:val="es-ES"/>
        </w:rPr>
        <w:t xml:space="preserve">les </w:t>
      </w:r>
      <w:r w:rsidR="006A6B58" w:rsidRPr="00F761A0">
        <w:rPr>
          <w:rStyle w:val="Nmerodepgina"/>
          <w:rFonts w:ascii="Palatino Linotype" w:hAnsi="Palatino Linotype"/>
          <w:iCs/>
          <w:sz w:val="22"/>
          <w:lang w:val="es-ES"/>
        </w:rPr>
        <w:t xml:space="preserve">como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Afghan</w:t>
      </w:r>
      <w:proofErr w:type="spellEnd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Women’s</w:t>
      </w:r>
      <w:proofErr w:type="spellEnd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Network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.</w:t>
      </w:r>
      <w:r w:rsidR="006A6B58" w:rsidRPr="00F761A0">
        <w:rPr>
          <w:rStyle w:val="Nmerodepgina"/>
          <w:rFonts w:ascii="Palatino Linotype" w:hAnsi="Palatino Linotype"/>
          <w:sz w:val="22"/>
          <w:vertAlign w:val="superscript"/>
        </w:rPr>
        <w:footnoteReference w:id="2"/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Gracias a estas interacciones y compromisos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as normas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 xml:space="preserve">y cuestiones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 g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é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nero </w:t>
      </w:r>
      <w:r w:rsidR="0063735A" w:rsidRPr="00F761A0">
        <w:rPr>
          <w:rStyle w:val="Nmerodepgina"/>
          <w:rFonts w:ascii="Palatino Linotype" w:hAnsi="Palatino Linotype"/>
          <w:sz w:val="22"/>
          <w:lang w:val="es-ES"/>
        </w:rPr>
        <w:t>se han vuelto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:</w:t>
      </w:r>
    </w:p>
    <w:p w14:paraId="083EB9CC" w14:textId="5BACF09F" w:rsidR="00414B33" w:rsidRPr="00F761A0" w:rsidRDefault="003B4913" w:rsidP="00484B5F">
      <w:pPr>
        <w:pStyle w:val="PargrafodaLista"/>
        <w:numPr>
          <w:ilvl w:val="0"/>
          <w:numId w:val="2"/>
        </w:numPr>
        <w:spacing w:after="80"/>
        <w:ind w:firstLine="720"/>
        <w:jc w:val="both"/>
        <w:rPr>
          <w:rStyle w:val="Nmerodepgina"/>
          <w:rFonts w:ascii="Palatino Linotype" w:eastAsia="Times New Roman" w:hAnsi="Palatino Linotype" w:cs="Times New Roman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>una moneda de cambio</w:t>
      </w:r>
      <w:r w:rsidR="00002E20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confli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tos transnaciona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particulares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 y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u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instrumento para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gest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las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disid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ncias </w:t>
      </w:r>
      <w:r w:rsidR="006A6B58" w:rsidRPr="00F761A0">
        <w:rPr>
          <w:rStyle w:val="Nmerodepgina"/>
          <w:rFonts w:ascii="Palatino Linotype" w:hAnsi="Palatino Linotype"/>
          <w:color w:val="auto"/>
          <w:sz w:val="22"/>
          <w:lang w:val="es-ES"/>
        </w:rPr>
        <w:t>políticas</w:t>
      </w:r>
      <w:r w:rsidR="00414B33" w:rsidRPr="00F761A0">
        <w:rPr>
          <w:rStyle w:val="Nmerodepgina"/>
          <w:rFonts w:ascii="Palatino Linotype" w:hAnsi="Palatino Linotype"/>
          <w:color w:val="auto"/>
          <w:sz w:val="22"/>
          <w:lang w:val="es-ES"/>
        </w:rPr>
        <w:t xml:space="preserve"> (</w:t>
      </w:r>
      <w:proofErr w:type="spellStart"/>
      <w:r w:rsidR="00414B33" w:rsidRPr="00F761A0">
        <w:rPr>
          <w:rStyle w:val="Nmerodepgina"/>
          <w:rFonts w:ascii="Palatino Linotype" w:hAnsi="Palatino Linotype"/>
          <w:color w:val="auto"/>
          <w:sz w:val="22"/>
          <w:lang w:val="es-ES"/>
        </w:rPr>
        <w:t>e.g</w:t>
      </w:r>
      <w:proofErr w:type="spellEnd"/>
      <w:r w:rsidR="00414B33" w:rsidRPr="00F761A0">
        <w:rPr>
          <w:rStyle w:val="Nmerodepgina"/>
          <w:rFonts w:ascii="Palatino Linotype" w:hAnsi="Palatino Linotype"/>
          <w:color w:val="auto"/>
          <w:sz w:val="22"/>
          <w:lang w:val="es-ES"/>
        </w:rPr>
        <w:t>.,</w:t>
      </w:r>
      <w:r w:rsidR="00002E20" w:rsidRPr="00F761A0">
        <w:rPr>
          <w:rStyle w:val="Nmerodepgina"/>
          <w:rFonts w:ascii="Palatino Linotype" w:hAnsi="Palatino Linotype"/>
          <w:color w:val="auto"/>
          <w:sz w:val="22"/>
          <w:lang w:val="es-ES"/>
        </w:rPr>
        <w:t xml:space="preserve"> en Afganistán y en </w:t>
      </w:r>
      <w:r w:rsidR="00414B33" w:rsidRPr="00F761A0">
        <w:rPr>
          <w:rStyle w:val="Nmerodepgina"/>
          <w:rFonts w:ascii="Palatino Linotype" w:hAnsi="Palatino Linotype"/>
          <w:color w:val="auto"/>
          <w:sz w:val="22"/>
          <w:lang w:val="es-ES"/>
        </w:rPr>
        <w:t>Paquist</w:t>
      </w:r>
      <w:r w:rsidR="00002E20" w:rsidRPr="00F761A0">
        <w:rPr>
          <w:rStyle w:val="Nmerodepgina"/>
          <w:rFonts w:ascii="Palatino Linotype" w:hAnsi="Palatino Linotype"/>
          <w:color w:val="auto"/>
          <w:sz w:val="22"/>
          <w:lang w:val="es-ES"/>
        </w:rPr>
        <w:t>án</w:t>
      </w:r>
      <w:r w:rsidR="00414B33" w:rsidRPr="00F761A0">
        <w:rPr>
          <w:rStyle w:val="Nmerodepgina"/>
          <w:rFonts w:ascii="Palatino Linotype" w:hAnsi="Palatino Linotype"/>
          <w:color w:val="auto"/>
          <w:sz w:val="22"/>
          <w:lang w:val="es-ES"/>
        </w:rPr>
        <w:t>);</w:t>
      </w:r>
    </w:p>
    <w:p w14:paraId="34E21EAF" w14:textId="68675DD7" w:rsidR="00CF34A7" w:rsidRPr="00F761A0" w:rsidRDefault="006A6B58" w:rsidP="00484B5F">
      <w:pPr>
        <w:pStyle w:val="PargrafodaLista"/>
        <w:numPr>
          <w:ilvl w:val="0"/>
          <w:numId w:val="2"/>
        </w:numPr>
        <w:spacing w:after="80"/>
        <w:ind w:firstLine="720"/>
        <w:jc w:val="both"/>
        <w:rPr>
          <w:rFonts w:ascii="Palatino Linotype" w:eastAsia="Times New Roman" w:hAnsi="Palatino Linotype" w:cs="Times New Roman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>u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instrumento importante para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as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defensoras y los defensore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s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de los derechos de las mujeres con respecto a estrategia, </w:t>
      </w:r>
      <w:proofErr w:type="spellStart"/>
      <w:r w:rsidR="00AE5070" w:rsidRPr="00F761A0">
        <w:rPr>
          <w:rStyle w:val="Nmerodepgina"/>
          <w:rFonts w:ascii="Palatino Linotype" w:hAnsi="Palatino Linotype"/>
          <w:i/>
          <w:sz w:val="22"/>
          <w:lang w:val="es-ES"/>
        </w:rPr>
        <w:t>advocacy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lobbying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>, forma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de alian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z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as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y recogida de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fundos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a nivel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transnacional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internacional (</w:t>
      </w:r>
      <w:proofErr w:type="spellStart"/>
      <w:r w:rsidRPr="00F761A0">
        <w:rPr>
          <w:rStyle w:val="Nmerodepgina"/>
          <w:rFonts w:ascii="Palatino Linotype" w:hAnsi="Palatino Linotype"/>
          <w:sz w:val="22"/>
          <w:lang w:val="es-ES"/>
        </w:rPr>
        <w:t>e.g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. como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ha sido evidenciado en el trabajo de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Musawah</w:t>
      </w:r>
      <w:proofErr w:type="spellEnd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r w:rsidR="00AE5070" w:rsidRPr="00F761A0">
        <w:rPr>
          <w:rStyle w:val="Nmerodepgina"/>
          <w:rFonts w:ascii="Palatino Linotype" w:hAnsi="Palatino Linotype"/>
          <w:iCs/>
          <w:sz w:val="22"/>
          <w:lang w:val="es-ES"/>
        </w:rPr>
        <w:t xml:space="preserve">y de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Afghan</w:t>
      </w:r>
      <w:proofErr w:type="spellEnd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Women’s</w:t>
      </w:r>
      <w:proofErr w:type="spellEnd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Network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).</w:t>
      </w:r>
    </w:p>
    <w:p w14:paraId="609F2F8A" w14:textId="64B7F405" w:rsidR="00B61B20" w:rsidRPr="00F761A0" w:rsidRDefault="00A269F9" w:rsidP="00484B5F">
      <w:pPr>
        <w:pStyle w:val="Body"/>
        <w:spacing w:after="80"/>
        <w:ind w:firstLine="720"/>
        <w:jc w:val="both"/>
        <w:rPr>
          <w:rStyle w:val="Nmerodepgina"/>
          <w:rFonts w:ascii="Palatino Linotype" w:hAnsi="Palatino Linotype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Entre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os efe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tos,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se </w:t>
      </w:r>
      <w:r w:rsidR="00296266" w:rsidRPr="00F761A0">
        <w:rPr>
          <w:rStyle w:val="Nmerodepgina"/>
          <w:rFonts w:ascii="Palatino Linotype" w:hAnsi="Palatino Linotype"/>
          <w:sz w:val="22"/>
          <w:lang w:val="es-ES"/>
        </w:rPr>
        <w:t xml:space="preserve">destacan 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los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programas de apo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o a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 las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organiza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de mu</w:t>
      </w:r>
      <w:r w:rsidR="00AE5070" w:rsidRPr="00F761A0">
        <w:rPr>
          <w:rStyle w:val="Nmerodepgina"/>
          <w:rFonts w:ascii="Palatino Linotype" w:hAnsi="Palatino Linotype"/>
          <w:sz w:val="22"/>
          <w:lang w:val="es-ES"/>
        </w:rPr>
        <w:t>je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r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es,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a la </w:t>
      </w:r>
      <w:proofErr w:type="spellStart"/>
      <w:r w:rsidRPr="00F761A0">
        <w:rPr>
          <w:rStyle w:val="Nmerodepgina"/>
          <w:rFonts w:ascii="Palatino Linotype" w:hAnsi="Palatino Linotype"/>
          <w:i/>
          <w:sz w:val="22"/>
          <w:lang w:val="es-ES"/>
        </w:rPr>
        <w:t>advocac</w:t>
      </w:r>
      <w:r w:rsidR="00C451F6" w:rsidRPr="00F761A0">
        <w:rPr>
          <w:rStyle w:val="Nmerodepgina"/>
          <w:rFonts w:ascii="Palatino Linotype" w:hAnsi="Palatino Linotype"/>
          <w:i/>
          <w:sz w:val="22"/>
          <w:lang w:val="es-ES"/>
        </w:rPr>
        <w:t>y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de </w:t>
      </w:r>
      <w:proofErr w:type="spellStart"/>
      <w:r w:rsidRPr="00F761A0">
        <w:rPr>
          <w:rStyle w:val="Nmerodepgina"/>
          <w:rFonts w:ascii="Palatino Linotype" w:hAnsi="Palatino Linotype"/>
          <w:sz w:val="22"/>
          <w:lang w:val="es-ES"/>
        </w:rPr>
        <w:t>ONGs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así como, en la prestación de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servi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cios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– inclu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yendo  l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a educa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niñas y la construcción de casas de acogida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para mu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jeres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–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as c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otas de g</w:t>
      </w:r>
      <w:r w:rsidR="00296266" w:rsidRPr="00F761A0">
        <w:rPr>
          <w:rStyle w:val="Nmerodepgina"/>
          <w:rFonts w:ascii="Palatino Linotype" w:hAnsi="Palatino Linotype"/>
          <w:sz w:val="22"/>
          <w:lang w:val="es-ES"/>
        </w:rPr>
        <w:t>é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nero,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las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le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yes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de estatuto pe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rsonal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o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a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prohibición de la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viol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ncia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g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é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nero, entre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muchos otros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. Estas iniciativas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han sido bien rec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i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bidas </w:t>
      </w:r>
      <w:r w:rsidR="00431FAF" w:rsidRPr="00F761A0">
        <w:rPr>
          <w:rStyle w:val="Nmerodepgina"/>
          <w:rFonts w:ascii="Palatino Linotype" w:hAnsi="Palatino Linotype"/>
          <w:sz w:val="22"/>
          <w:lang w:val="es-ES"/>
        </w:rPr>
        <w:t>por algun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o</w:t>
      </w:r>
      <w:r w:rsidR="00431FAF" w:rsidRPr="00F761A0">
        <w:rPr>
          <w:rStyle w:val="Nmerodepgina"/>
          <w:rFonts w:ascii="Palatino Linotype" w:hAnsi="Palatino Linotype"/>
          <w:sz w:val="22"/>
          <w:lang w:val="es-ES"/>
        </w:rPr>
        <w:t xml:space="preserve">s </w:t>
      </w:r>
      <w:r w:rsidR="00425752" w:rsidRPr="00F761A0">
        <w:rPr>
          <w:rStyle w:val="Nmerodepgina"/>
          <w:rFonts w:ascii="Palatino Linotype" w:hAnsi="Palatino Linotype"/>
          <w:sz w:val="22"/>
          <w:lang w:val="es-ES"/>
        </w:rPr>
        <w:t>a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425752" w:rsidRPr="00F761A0">
        <w:rPr>
          <w:rStyle w:val="Nmerodepgina"/>
          <w:rFonts w:ascii="Palatino Linotype" w:hAnsi="Palatino Linotype"/>
          <w:sz w:val="22"/>
          <w:lang w:val="es-ES"/>
        </w:rPr>
        <w:t>tores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 pero tamb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ié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n han sido muy </w:t>
      </w:r>
      <w:r w:rsidR="00425752" w:rsidRPr="00F761A0">
        <w:rPr>
          <w:rStyle w:val="Nmerodepgina"/>
          <w:rFonts w:ascii="Palatino Linotype" w:hAnsi="Palatino Linotype"/>
          <w:sz w:val="22"/>
          <w:lang w:val="es-ES"/>
        </w:rPr>
        <w:t>criticada</w:t>
      </w:r>
      <w:r w:rsidR="00431FAF" w:rsidRPr="00F761A0">
        <w:rPr>
          <w:rStyle w:val="Nmerodepgina"/>
          <w:rFonts w:ascii="Palatino Linotype" w:hAnsi="Palatino Linotype"/>
          <w:sz w:val="22"/>
          <w:lang w:val="es-ES"/>
        </w:rPr>
        <w:t>s por otros.</w:t>
      </w:r>
      <w:r w:rsidR="005A376A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Con respecto a estos, por una parte,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tores conservadores, perten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ecientes tanto a los go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b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iernos como a la sociedad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civil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,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 xml:space="preserve">han clasificado estas acciones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como prá</w:t>
      </w:r>
      <w:r w:rsidR="00C451F6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ticas de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Westoxification</w:t>
      </w:r>
      <w:proofErr w:type="spellEnd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;</w:t>
      </w:r>
      <w:r w:rsidR="006A6B58" w:rsidRPr="00F761A0">
        <w:rPr>
          <w:rStyle w:val="Nmerodepgina"/>
          <w:rFonts w:ascii="Palatino Linotype" w:hAnsi="Palatino Linotype"/>
          <w:i/>
          <w:iCs/>
          <w:sz w:val="22"/>
          <w:vertAlign w:val="superscript"/>
        </w:rPr>
        <w:footnoteReference w:id="3"/>
      </w:r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por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otra parte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desde una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crítica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basada en una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perspectiva p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colonial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 que ha llevado a entender estas acciones como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interven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ciones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estas han sido atribuidas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a u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na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lastRenderedPageBreak/>
        <w:t>estrat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gia neo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imperial civilizat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ria</w:t>
      </w:r>
      <w:r w:rsidR="00347BAE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y parte integrante </w:t>
      </w:r>
      <w:r w:rsidR="00347BAE" w:rsidRPr="00F761A0">
        <w:rPr>
          <w:rStyle w:val="Nmerodepgina"/>
          <w:rFonts w:ascii="Palatino Linotype" w:hAnsi="Palatino Linotype"/>
          <w:sz w:val="22"/>
          <w:lang w:val="es-ES"/>
        </w:rPr>
        <w:t>de u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na</w:t>
      </w:r>
      <w:r w:rsidR="00D048C1" w:rsidRPr="00F761A0">
        <w:rPr>
          <w:rStyle w:val="Nmerodepgina"/>
          <w:rFonts w:ascii="Palatino Linotype" w:hAnsi="Palatino Linotype"/>
          <w:sz w:val="22"/>
          <w:lang w:val="es-ES"/>
        </w:rPr>
        <w:t xml:space="preserve"> lógica</w:t>
      </w:r>
      <w:r w:rsidR="00347BAE" w:rsidRPr="00F761A0">
        <w:rPr>
          <w:rStyle w:val="Nmerodepgina"/>
          <w:rFonts w:ascii="Palatino Linotype" w:hAnsi="Palatino Linotype"/>
          <w:sz w:val="22"/>
          <w:lang w:val="es-ES"/>
        </w:rPr>
        <w:t xml:space="preserve"> de globaliza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ción</w:t>
      </w:r>
      <w:r w:rsidR="00347BAE" w:rsidRPr="00F761A0">
        <w:rPr>
          <w:rStyle w:val="Nmerodepgina"/>
          <w:rFonts w:ascii="Palatino Linotype" w:hAnsi="Palatino Linotype"/>
          <w:sz w:val="22"/>
          <w:lang w:val="es-ES"/>
        </w:rPr>
        <w:t xml:space="preserve"> neoliberal.</w:t>
      </w:r>
      <w:r w:rsidR="005A376A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Para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este fenómeno han contribuido la relación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poder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asimétrica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entre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os países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intervinientes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y los que son objeto de intervención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pertenecientes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al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norte 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y </w:t>
      </w:r>
      <w:proofErr w:type="gramStart"/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al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su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 xml:space="preserve">r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globa</w:t>
      </w:r>
      <w:r w:rsidR="0029055C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proofErr w:type="gram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respectivamente. </w:t>
      </w:r>
    </w:p>
    <w:p w14:paraId="61BFE315" w14:textId="4FBBD165" w:rsidR="00CF34A7" w:rsidRPr="00F761A0" w:rsidRDefault="00625D33" w:rsidP="00484B5F">
      <w:pPr>
        <w:pStyle w:val="Body"/>
        <w:spacing w:after="80"/>
        <w:ind w:firstLine="720"/>
        <w:jc w:val="both"/>
        <w:rPr>
          <w:rStyle w:val="Nmerodepgina"/>
          <w:rFonts w:ascii="Palatino Linotype" w:hAnsi="Palatino Linotype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Así, han emergido contestaciones a los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feminismos o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cidenta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les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por parte de movi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>m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i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 xml:space="preserve">entos de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las 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>mu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je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>res (Roces 2010)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 y a otros 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>feminismos</w:t>
      </w:r>
      <w:r w:rsidR="00B16943" w:rsidRPr="00F761A0">
        <w:rPr>
          <w:rStyle w:val="Nmerodepgina"/>
          <w:rFonts w:ascii="Palatino Linotype" w:hAnsi="Palatino Linotype"/>
          <w:sz w:val="22"/>
          <w:lang w:val="es-ES"/>
        </w:rPr>
        <w:t xml:space="preserve"> (como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B16943" w:rsidRPr="00F761A0">
        <w:rPr>
          <w:rStyle w:val="Nmerodepgina"/>
          <w:rFonts w:ascii="Palatino Linotype" w:hAnsi="Palatino Linotype"/>
          <w:sz w:val="22"/>
          <w:lang w:val="es-ES"/>
        </w:rPr>
        <w:t>os religiosos</w:t>
      </w:r>
      <w:r w:rsidR="00937F8F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o l</w:t>
      </w:r>
      <w:r w:rsidR="00937F8F" w:rsidRPr="00F761A0">
        <w:rPr>
          <w:rStyle w:val="Nmerodepgina"/>
          <w:rFonts w:ascii="Palatino Linotype" w:hAnsi="Palatino Linotype"/>
          <w:sz w:val="22"/>
          <w:lang w:val="es-ES"/>
        </w:rPr>
        <w:t>os libera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B16943" w:rsidRPr="00F761A0">
        <w:rPr>
          <w:rStyle w:val="Nmerodepgina"/>
          <w:rFonts w:ascii="Palatino Linotype" w:hAnsi="Palatino Linotype"/>
          <w:sz w:val="22"/>
          <w:lang w:val="es-ES"/>
        </w:rPr>
        <w:t>)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en el seno de los 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>movim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i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 xml:space="preserve">entos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de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 xml:space="preserve"> mu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je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>res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>, tanto loca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 xml:space="preserve"> como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 xml:space="preserve"> transnaciona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les. Estos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movimientos son 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>heterog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>é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>ne</w:t>
      </w:r>
      <w:r w:rsidR="00D81E55" w:rsidRPr="00F761A0">
        <w:rPr>
          <w:rStyle w:val="Nmerodepgina"/>
          <w:rFonts w:ascii="Palatino Linotype" w:hAnsi="Palatino Linotype"/>
          <w:sz w:val="22"/>
          <w:lang w:val="es-ES"/>
        </w:rPr>
        <w:t>os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010BC6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296266" w:rsidRPr="00F761A0">
        <w:rPr>
          <w:rStyle w:val="Nmerodepgina"/>
          <w:rFonts w:ascii="Palatino Linotype" w:hAnsi="Palatino Linotype"/>
          <w:sz w:val="22"/>
          <w:lang w:val="es-ES"/>
        </w:rPr>
        <w:t>se pautan por m</w:t>
      </w:r>
      <w:r w:rsidR="00377D0F" w:rsidRPr="00F761A0">
        <w:rPr>
          <w:rStyle w:val="Nmerodepgina"/>
          <w:rFonts w:ascii="Palatino Linotype" w:hAnsi="Palatino Linotype"/>
          <w:sz w:val="22"/>
          <w:lang w:val="es-ES"/>
        </w:rPr>
        <w:t>ú</w:t>
      </w:r>
      <w:r w:rsidR="00296266" w:rsidRPr="00F761A0">
        <w:rPr>
          <w:rStyle w:val="Nmerodepgina"/>
          <w:rFonts w:ascii="Palatino Linotype" w:hAnsi="Palatino Linotype"/>
          <w:sz w:val="22"/>
          <w:lang w:val="es-ES"/>
        </w:rPr>
        <w:t>ltipl</w:t>
      </w:r>
      <w:r w:rsidR="00377D0F" w:rsidRPr="00F761A0">
        <w:rPr>
          <w:rStyle w:val="Nmerodepgina"/>
          <w:rFonts w:ascii="Palatino Linotype" w:hAnsi="Palatino Linotype"/>
          <w:sz w:val="22"/>
          <w:lang w:val="es-ES"/>
        </w:rPr>
        <w:t>es voc</w:t>
      </w:r>
      <w:r w:rsidR="00296266" w:rsidRPr="00F761A0">
        <w:rPr>
          <w:rStyle w:val="Nmerodepgina"/>
          <w:rFonts w:ascii="Palatino Linotype" w:hAnsi="Palatino Linotype"/>
          <w:sz w:val="22"/>
          <w:lang w:val="es-ES"/>
        </w:rPr>
        <w:t xml:space="preserve">es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con respecto a las </w:t>
      </w:r>
      <w:r w:rsidR="009D6C50" w:rsidRPr="00F761A0">
        <w:rPr>
          <w:rStyle w:val="Nmerodepgina"/>
          <w:rFonts w:ascii="Palatino Linotype" w:hAnsi="Palatino Linotype"/>
          <w:sz w:val="22"/>
          <w:lang w:val="es-ES"/>
        </w:rPr>
        <w:t>interpreta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ciones de cuestiones relativas no solo a las mujeres y a sus derechos</w:t>
      </w:r>
      <w:r w:rsidR="009D6C50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sino también a la relación </w:t>
      </w:r>
      <w:r w:rsidR="009D6C50" w:rsidRPr="00F761A0">
        <w:rPr>
          <w:rStyle w:val="Nmerodepgina"/>
          <w:rFonts w:ascii="Palatino Linotype" w:hAnsi="Palatino Linotype"/>
          <w:sz w:val="22"/>
          <w:lang w:val="es-ES"/>
        </w:rPr>
        <w:t xml:space="preserve">entre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religión y </w:t>
      </w:r>
      <w:r w:rsidR="009D6C50" w:rsidRPr="00F761A0">
        <w:rPr>
          <w:rStyle w:val="Nmerodepgina"/>
          <w:rFonts w:ascii="Palatino Linotype" w:hAnsi="Palatino Linotype"/>
          <w:sz w:val="22"/>
          <w:lang w:val="es-ES"/>
        </w:rPr>
        <w:t>género (Ahmed-</w:t>
      </w:r>
      <w:proofErr w:type="spellStart"/>
      <w:r w:rsidR="009D6C50" w:rsidRPr="00F761A0">
        <w:rPr>
          <w:rStyle w:val="Nmerodepgina"/>
          <w:rFonts w:ascii="Palatino Linotype" w:hAnsi="Palatino Linotype"/>
          <w:sz w:val="22"/>
          <w:lang w:val="es-ES"/>
        </w:rPr>
        <w:t>Gosh</w:t>
      </w:r>
      <w:proofErr w:type="spellEnd"/>
      <w:r w:rsidR="009D6C50" w:rsidRPr="00F761A0">
        <w:rPr>
          <w:rStyle w:val="Nmerodepgina"/>
          <w:rFonts w:ascii="Palatino Linotype" w:hAnsi="Palatino Linotype"/>
          <w:sz w:val="22"/>
          <w:lang w:val="es-ES"/>
        </w:rPr>
        <w:t xml:space="preserve"> 2015).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También han surgido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contra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movim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ientos, much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as ve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es religiosos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conservadores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 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por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veces,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transnaciona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(ver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Derichs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e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Fennert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2014 sobre casos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en el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Sudeste asiático e 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en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regi</w:t>
      </w:r>
      <w:r w:rsidR="00BE3DAF" w:rsidRPr="00F761A0">
        <w:rPr>
          <w:rStyle w:val="Nmerodepgina"/>
          <w:rFonts w:ascii="Palatino Linotype" w:hAnsi="Palatino Linotype"/>
          <w:sz w:val="22"/>
          <w:lang w:val="es-ES"/>
        </w:rPr>
        <w:t xml:space="preserve">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MENA).</w:t>
      </w:r>
    </w:p>
    <w:p w14:paraId="19778FB9" w14:textId="0065FC44" w:rsidR="00CF34A7" w:rsidRPr="00F761A0" w:rsidRDefault="009319D4" w:rsidP="00484B5F">
      <w:pPr>
        <w:pStyle w:val="Body"/>
        <w:spacing w:after="80"/>
        <w:ind w:firstLine="720"/>
        <w:jc w:val="both"/>
        <w:rPr>
          <w:rStyle w:val="Nmerodepgina"/>
          <w:rFonts w:ascii="Palatino Linotype" w:hAnsi="Palatino Linotype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>En el norte global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aunque 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términos del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debate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hayan sido planteados de u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modo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distinto,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gracias a distintas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configura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históric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socia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económicas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políticas,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el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género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sigue siendo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central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en los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debates naciona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les e internacionales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al mismo tiempo que 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 xml:space="preserve">se constituye como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indicativo 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 xml:space="preserve">del nivel de progreso de los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estados. 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 xml:space="preserve">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Uni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 xml:space="preserve">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Europea, por e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>j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emplo, ent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>i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ende 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as rela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 g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>é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nero como u</w:t>
      </w:r>
      <w:r w:rsidR="00997C9A" w:rsidRPr="00F761A0">
        <w:rPr>
          <w:rStyle w:val="Nmerodepgina"/>
          <w:rFonts w:ascii="Palatino Linotype" w:hAnsi="Palatino Linotype"/>
          <w:sz w:val="22"/>
          <w:lang w:val="es-ES"/>
        </w:rPr>
        <w:t>na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componente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importante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de las su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 políticas de alargam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i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ento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al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leste europe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(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Pető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4D261D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Manners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2006, 97-111)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 xml:space="preserve"> y de las P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olíticas de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Vecindad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 en el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Mediterráneo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y en la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Eurasia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(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Gündüz</w:t>
      </w:r>
      <w:proofErr w:type="spellEnd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2015).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Además, como ya ha sido mencionado, los derechos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e 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as mu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je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res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han sido elegidos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tanto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en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Su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cia,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un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país escandinavo, como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en los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Emira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t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os Árabes Unidos, u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país árabe, como centra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para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constru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cción de estrate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gias de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diferenciac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ió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n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sus respectivos vecinos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En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 xml:space="preserve">el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>primer caso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Suecia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ha</w:t>
      </w:r>
      <w:r w:rsidR="00010249" w:rsidRPr="00F761A0">
        <w:rPr>
          <w:rStyle w:val="Nmerodepgina"/>
          <w:rFonts w:ascii="Palatino Linotype" w:hAnsi="Palatino Linotype"/>
          <w:sz w:val="22"/>
          <w:lang w:val="es-ES"/>
        </w:rPr>
        <w:t xml:space="preserve"> proclamado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 xml:space="preserve">en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2015 u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 política externa feminista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 xml:space="preserve">, mientras, en el segundo caso, los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Emira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t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os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 xml:space="preserve">están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tivamente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 xml:space="preserve">comprometidos en una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campa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ña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internacional para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 xml:space="preserve">que se le reconozca como un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modelo para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os d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erechos de 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as mu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j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eres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en el Me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dio Oriente (ver Carvalho Pinto 2018, </w:t>
      </w:r>
      <w:r w:rsidR="00D04AD0" w:rsidRPr="00F761A0">
        <w:rPr>
          <w:rStyle w:val="Nmerodepgina"/>
          <w:rFonts w:ascii="Palatino Linotype" w:hAnsi="Palatino Linotype"/>
          <w:sz w:val="22"/>
          <w:lang w:val="es-ES"/>
        </w:rPr>
        <w:t>prensa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).</w:t>
      </w:r>
    </w:p>
    <w:p w14:paraId="6D508E3E" w14:textId="249FC0DB" w:rsidR="00CF34A7" w:rsidRPr="00F761A0" w:rsidRDefault="009953B4" w:rsidP="00484B5F">
      <w:pPr>
        <w:pStyle w:val="Body"/>
        <w:spacing w:after="80"/>
        <w:ind w:firstLine="720"/>
        <w:jc w:val="both"/>
        <w:rPr>
          <w:rStyle w:val="Nmerodepgina"/>
          <w:rFonts w:ascii="Palatino Linotype" w:hAnsi="Palatino Linotype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Parece claro,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>pues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que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 constru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cción de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co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base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en los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re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chos de las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mu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jeres viene siendo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driver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importante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en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intera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entre 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tores internaciona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, regiona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transnaciona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que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>actúan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tanto </w:t>
      </w:r>
      <w:proofErr w:type="spellStart"/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intra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como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inter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regiones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>Todavía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,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>pesar de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 xml:space="preserve">su evidencia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empírica, este tema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 xml:space="preserve">sigue estando ausente de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literatura sobre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 xml:space="preserve">Por consiguiente,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este dosier especial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 xml:space="preserve">invita a contribuciones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sobre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os </w:t>
      </w:r>
      <w:r w:rsidR="005B3095" w:rsidRPr="00F761A0">
        <w:rPr>
          <w:rStyle w:val="Nmerodepgina"/>
          <w:rFonts w:ascii="Palatino Linotype" w:hAnsi="Palatino Linotype"/>
          <w:sz w:val="22"/>
          <w:lang w:val="es-ES"/>
        </w:rPr>
        <w:t>siguientes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temas:</w:t>
      </w:r>
    </w:p>
    <w:p w14:paraId="466DE047" w14:textId="243A50BB" w:rsidR="00CF34A7" w:rsidRPr="00F761A0" w:rsidRDefault="005B3095" w:rsidP="00484B5F">
      <w:pPr>
        <w:pStyle w:val="PargrafodaLista"/>
        <w:numPr>
          <w:ilvl w:val="0"/>
          <w:numId w:val="4"/>
        </w:numPr>
        <w:spacing w:after="80"/>
        <w:ind w:left="426"/>
        <w:jc w:val="both"/>
        <w:rPr>
          <w:rStyle w:val="Nmerodepgina"/>
          <w:rFonts w:ascii="Palatino Linotype" w:eastAsia="Times New Roman" w:hAnsi="Palatino Linotype" w:cs="Times New Roman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Trabajos de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cariz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más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ge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neral 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que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impliquen 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literatura sobre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y  que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contribu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yan 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para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 teoriza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de la relación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entre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y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género; </w:t>
      </w:r>
    </w:p>
    <w:p w14:paraId="0041D219" w14:textId="386C56CF" w:rsidR="00CF34A7" w:rsidRPr="00F761A0" w:rsidRDefault="005B3095" w:rsidP="00484B5F">
      <w:pPr>
        <w:pStyle w:val="PargrafodaLista"/>
        <w:numPr>
          <w:ilvl w:val="0"/>
          <w:numId w:val="4"/>
        </w:numPr>
        <w:spacing w:after="80"/>
        <w:ind w:left="426"/>
        <w:jc w:val="both"/>
        <w:rPr>
          <w:rStyle w:val="Nmerodepgina"/>
          <w:rFonts w:ascii="Palatino Linotype" w:eastAsia="Times New Roman" w:hAnsi="Palatino Linotype" w:cs="Times New Roman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Trabajos que 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incidan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sobre como las distintas abordaj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es de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la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política externa, inclu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ye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ndo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,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pero no de forma exclusiva, las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aborda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jes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soft</w:t>
      </w:r>
      <w:proofErr w:type="spellEnd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power</w:t>
      </w:r>
      <w:proofErr w:type="spellEnd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r w:rsidRPr="00F761A0">
        <w:rPr>
          <w:rStyle w:val="Nmerodepgina"/>
          <w:rFonts w:ascii="Palatino Linotype" w:hAnsi="Palatino Linotype"/>
          <w:iCs/>
          <w:sz w:val="22"/>
          <w:lang w:val="es-ES"/>
        </w:rPr>
        <w:t>y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las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interven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ciones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militares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o no militares,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p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ueden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configurar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se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como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estrat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gias de coopera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 o de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confli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to visando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 prosecu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de 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na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política de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;</w:t>
      </w:r>
    </w:p>
    <w:p w14:paraId="7825B570" w14:textId="70805079" w:rsidR="00CF34A7" w:rsidRPr="00F761A0" w:rsidRDefault="006A6B58" w:rsidP="00484B5F">
      <w:pPr>
        <w:pStyle w:val="PargrafodaLista"/>
        <w:numPr>
          <w:ilvl w:val="0"/>
          <w:numId w:val="4"/>
        </w:numPr>
        <w:spacing w:after="80"/>
        <w:ind w:left="426"/>
        <w:jc w:val="both"/>
        <w:rPr>
          <w:rStyle w:val="Nmerodepgina"/>
          <w:rFonts w:ascii="Palatino Linotype" w:eastAsia="Times New Roman" w:hAnsi="Palatino Linotype" w:cs="Times New Roman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>Casos empíricos (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del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Norte 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y del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Su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r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globa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) 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sobre el modo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como estados 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o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grupos de estados, organiza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internaciona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les o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supranaciona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alian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zas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regiona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prom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ueven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determinadas normas de g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é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nero e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proofErr w:type="spellStart"/>
      <w:r w:rsidRPr="00F761A0">
        <w:rPr>
          <w:rStyle w:val="Nmerodepgina"/>
          <w:rFonts w:ascii="Palatino Linotype" w:hAnsi="Palatino Linotype"/>
          <w:sz w:val="22"/>
          <w:lang w:val="es-ES"/>
        </w:rPr>
        <w:t>fóruns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>/organiza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ciones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internaciona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les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como parte de u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na estrate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gia de constru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cción de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Se valoriza el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papel de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norm</w:t>
      </w:r>
      <w:proofErr w:type="spellEnd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setters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de p</w:t>
      </w:r>
      <w:r w:rsidR="005A376A" w:rsidRPr="00F761A0">
        <w:rPr>
          <w:rStyle w:val="Nmerodepgina"/>
          <w:rFonts w:ascii="Palatino Linotype" w:hAnsi="Palatino Linotype"/>
          <w:sz w:val="22"/>
          <w:lang w:val="es-ES"/>
        </w:rPr>
        <w:t xml:space="preserve">aíses como Noruega 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 xml:space="preserve">y </w:t>
      </w:r>
      <w:r w:rsidR="005A376A" w:rsidRPr="00F761A0">
        <w:rPr>
          <w:rStyle w:val="Nmerodepgina"/>
          <w:rFonts w:ascii="Palatino Linotype" w:hAnsi="Palatino Linotype"/>
          <w:sz w:val="22"/>
          <w:lang w:val="es-ES"/>
        </w:rPr>
        <w:t>Su</w:t>
      </w:r>
      <w:r w:rsidR="00FB77AC" w:rsidRPr="00F761A0">
        <w:rPr>
          <w:rStyle w:val="Nmerodepgina"/>
          <w:rFonts w:ascii="Palatino Linotype" w:hAnsi="Palatino Linotype"/>
          <w:sz w:val="22"/>
          <w:lang w:val="es-ES"/>
        </w:rPr>
        <w:t>e</w:t>
      </w:r>
      <w:r w:rsidR="005A376A" w:rsidRPr="00F761A0">
        <w:rPr>
          <w:rStyle w:val="Nmerodepgina"/>
          <w:rFonts w:ascii="Palatino Linotype" w:hAnsi="Palatino Linotype"/>
          <w:sz w:val="22"/>
          <w:lang w:val="es-ES"/>
        </w:rPr>
        <w:t>cia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 y los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debates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sobre la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ratifica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y las </w:t>
      </w:r>
      <w:r w:rsidR="00937F8F" w:rsidRPr="00F761A0">
        <w:rPr>
          <w:rStyle w:val="Nmerodepgina"/>
          <w:rFonts w:ascii="Palatino Linotype" w:hAnsi="Palatino Linotype"/>
          <w:sz w:val="22"/>
          <w:lang w:val="es-ES"/>
        </w:rPr>
        <w:t>reservas</w:t>
      </w:r>
      <w:r w:rsidR="00414B33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con respecto a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CEDAW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y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DEVAW</w:t>
      </w:r>
      <w:r w:rsidR="00414B33" w:rsidRPr="00F761A0">
        <w:rPr>
          <w:rStyle w:val="Nmerodepgina"/>
          <w:rFonts w:ascii="Palatino Linotype" w:hAnsi="Palatino Linotype"/>
          <w:sz w:val="22"/>
          <w:lang w:val="es-ES"/>
        </w:rPr>
        <w:t>,</w:t>
      </w:r>
      <w:r w:rsidR="00937F8F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así como sobre </w:t>
      </w:r>
      <w:r w:rsidR="00937F8F" w:rsidRPr="00F761A0">
        <w:rPr>
          <w:rStyle w:val="Nmerodepgina"/>
          <w:rFonts w:ascii="Palatino Linotype" w:hAnsi="Palatino Linotype"/>
          <w:sz w:val="22"/>
          <w:lang w:val="es-ES"/>
        </w:rPr>
        <w:t xml:space="preserve">iniciativas relativas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a la </w:t>
      </w:r>
      <w:r w:rsidR="00937F8F" w:rsidRPr="00F761A0">
        <w:rPr>
          <w:rStyle w:val="Nmerodepgina"/>
          <w:rFonts w:ascii="Palatino Linotype" w:hAnsi="Palatino Linotype"/>
          <w:sz w:val="22"/>
          <w:lang w:val="es-ES"/>
        </w:rPr>
        <w:t>Resolu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</w:t>
      </w:r>
      <w:r w:rsidR="00937F8F" w:rsidRPr="00F761A0">
        <w:rPr>
          <w:rStyle w:val="Nmerodepgina"/>
          <w:rFonts w:ascii="Palatino Linotype" w:hAnsi="Palatino Linotype"/>
          <w:sz w:val="22"/>
          <w:lang w:val="es-ES"/>
        </w:rPr>
        <w:t>1325 (2000);</w:t>
      </w:r>
      <w:r w:rsidR="005A376A" w:rsidRPr="00F761A0">
        <w:rPr>
          <w:rStyle w:val="Nmerodepgina"/>
          <w:rFonts w:ascii="Palatino Linotype" w:eastAsia="Times New Roman" w:hAnsi="Palatino Linotype" w:cs="Times New Roman"/>
          <w:sz w:val="22"/>
          <w:vertAlign w:val="superscript"/>
          <w:lang w:val="es-ES"/>
        </w:rPr>
        <w:t xml:space="preserve"> </w:t>
      </w:r>
      <w:r w:rsidR="005A376A" w:rsidRPr="00F761A0">
        <w:rPr>
          <w:rStyle w:val="Nmerodepgina"/>
          <w:rFonts w:ascii="Palatino Linotype" w:eastAsia="Times New Roman" w:hAnsi="Palatino Linotype" w:cs="Times New Roman"/>
          <w:sz w:val="22"/>
          <w:vertAlign w:val="superscript"/>
        </w:rPr>
        <w:footnoteReference w:id="4"/>
      </w:r>
    </w:p>
    <w:p w14:paraId="59AE77E8" w14:textId="7EACEBC2" w:rsidR="00CF34A7" w:rsidRPr="00F761A0" w:rsidRDefault="00B84320" w:rsidP="00484B5F">
      <w:pPr>
        <w:pStyle w:val="PargrafodaLista"/>
        <w:numPr>
          <w:ilvl w:val="0"/>
          <w:numId w:val="4"/>
        </w:numPr>
        <w:spacing w:after="80"/>
        <w:ind w:left="426"/>
        <w:jc w:val="both"/>
        <w:rPr>
          <w:rStyle w:val="Nmerodepgina"/>
          <w:rFonts w:ascii="Palatino Linotype" w:eastAsia="Times New Roman" w:hAnsi="Palatino Linotype" w:cs="Times New Roman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lastRenderedPageBreak/>
        <w:t xml:space="preserve">Trabajos sobre cómo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esta difu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sión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las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normas de género – </w:t>
      </w:r>
      <w:r w:rsidR="00B11300">
        <w:rPr>
          <w:rStyle w:val="Nmerodepgina"/>
          <w:rFonts w:ascii="Palatino Linotype" w:hAnsi="Palatino Linotype"/>
          <w:sz w:val="22"/>
          <w:lang w:val="es-ES"/>
        </w:rPr>
        <w:t xml:space="preserve">repertorios </w:t>
      </w:r>
      <w:proofErr w:type="spellStart"/>
      <w:r w:rsidR="00B11300">
        <w:rPr>
          <w:rStyle w:val="Nmerodepgina"/>
          <w:rFonts w:ascii="Palatino Linotype" w:hAnsi="Palatino Linotype"/>
          <w:sz w:val="22"/>
          <w:lang w:val="es-ES"/>
        </w:rPr>
        <w:t>translocales</w:t>
      </w:r>
      <w:proofErr w:type="spellEnd"/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y sobre sus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conse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cuencias 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 xml:space="preserve">para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los 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>movim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i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 xml:space="preserve">entos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y </w:t>
      </w:r>
      <w:r w:rsidR="003A5EA2" w:rsidRPr="00F761A0">
        <w:rPr>
          <w:rStyle w:val="Nmerodepgina"/>
          <w:rFonts w:ascii="Palatino Linotype" w:hAnsi="Palatino Linotype"/>
          <w:sz w:val="22"/>
          <w:lang w:val="es-ES"/>
        </w:rPr>
        <w:t>contra-movim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i</w:t>
      </w:r>
      <w:r w:rsidR="003A5EA2" w:rsidRPr="00F761A0">
        <w:rPr>
          <w:rStyle w:val="Nmerodepgina"/>
          <w:rFonts w:ascii="Palatino Linotype" w:hAnsi="Palatino Linotype"/>
          <w:sz w:val="22"/>
          <w:lang w:val="es-ES"/>
        </w:rPr>
        <w:t xml:space="preserve">entos 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 xml:space="preserve">de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mujeres y de 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>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 xml:space="preserve">tivistas,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así como 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>para</w:t>
      </w:r>
      <w:r w:rsidR="003C11C0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la</w:t>
      </w:r>
      <w:r w:rsidR="003C11C0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proofErr w:type="spellStart"/>
      <w:r w:rsidR="003C11C0" w:rsidRPr="00F761A0">
        <w:rPr>
          <w:rStyle w:val="Nmerodepgina"/>
          <w:rFonts w:ascii="Palatino Linotype" w:hAnsi="Palatino Linotype"/>
          <w:i/>
          <w:sz w:val="22"/>
          <w:lang w:val="es-ES"/>
        </w:rPr>
        <w:t>everyday</w:t>
      </w:r>
      <w:proofErr w:type="spellEnd"/>
      <w:r w:rsidR="003C11C0" w:rsidRPr="00F761A0">
        <w:rPr>
          <w:rStyle w:val="Nmerodepgina"/>
          <w:rFonts w:ascii="Palatino Linotype" w:hAnsi="Palatino Linotype"/>
          <w:i/>
          <w:sz w:val="22"/>
          <w:lang w:val="es-ES"/>
        </w:rPr>
        <w:t xml:space="preserve"> </w:t>
      </w:r>
      <w:proofErr w:type="spellStart"/>
      <w:r w:rsidR="003C11C0" w:rsidRPr="00F761A0">
        <w:rPr>
          <w:rStyle w:val="Nmerodepgina"/>
          <w:rFonts w:ascii="Palatino Linotype" w:hAnsi="Palatino Linotype"/>
          <w:i/>
          <w:sz w:val="22"/>
          <w:lang w:val="es-ES"/>
        </w:rPr>
        <w:t>life</w:t>
      </w:r>
      <w:proofErr w:type="spellEnd"/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de las 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>mu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je</w:t>
      </w:r>
      <w:r w:rsidR="0082592F" w:rsidRPr="00F761A0">
        <w:rPr>
          <w:rStyle w:val="Nmerodepgina"/>
          <w:rFonts w:ascii="Palatino Linotype" w:hAnsi="Palatino Linotype"/>
          <w:sz w:val="22"/>
          <w:lang w:val="es-ES"/>
        </w:rPr>
        <w:t>res;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</w:p>
    <w:p w14:paraId="153AEF01" w14:textId="4E7D1DDB" w:rsidR="00CF34A7" w:rsidRPr="00F761A0" w:rsidRDefault="006A6B58" w:rsidP="00484B5F">
      <w:pPr>
        <w:pStyle w:val="PargrafodaLista"/>
        <w:numPr>
          <w:ilvl w:val="0"/>
          <w:numId w:val="4"/>
        </w:numPr>
        <w:spacing w:after="80"/>
        <w:ind w:left="426"/>
        <w:jc w:val="both"/>
        <w:rPr>
          <w:rStyle w:val="Nmerodepgina"/>
          <w:rFonts w:ascii="Palatino Linotype" w:eastAsia="Times New Roman" w:hAnsi="Palatino Linotype" w:cs="Times New Roman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>Teoriza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e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investiga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ción de estas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prá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ticas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y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políticas discursivas a partir de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una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perspectiva feminista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de las relaciones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internaciona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, co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>n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particular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enfoque en los posibles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instrumentos epistemológicos, teóricos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metodológicos </w:t>
      </w:r>
      <w:r w:rsidR="00B84320" w:rsidRPr="00F761A0">
        <w:rPr>
          <w:rStyle w:val="Nmerodepgina"/>
          <w:rFonts w:ascii="Palatino Linotype" w:hAnsi="Palatino Linotype"/>
          <w:sz w:val="22"/>
          <w:lang w:val="es-ES"/>
        </w:rPr>
        <w:t xml:space="preserve">que puedan ser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utilizados;</w:t>
      </w:r>
    </w:p>
    <w:p w14:paraId="10EFA62C" w14:textId="02A7760C" w:rsidR="00CF34A7" w:rsidRPr="00F761A0" w:rsidRDefault="00B84320" w:rsidP="00484B5F">
      <w:pPr>
        <w:pStyle w:val="PargrafodaLista"/>
        <w:numPr>
          <w:ilvl w:val="0"/>
          <w:numId w:val="4"/>
        </w:numPr>
        <w:spacing w:after="80"/>
        <w:ind w:left="426"/>
        <w:jc w:val="both"/>
        <w:rPr>
          <w:rStyle w:val="Nmerodepgina"/>
          <w:rFonts w:ascii="Palatino Linotype" w:eastAsia="Times New Roman" w:hAnsi="Palatino Linotype" w:cs="Times New Roman"/>
          <w:sz w:val="22"/>
          <w:lang w:val="es-ES"/>
        </w:rPr>
      </w:pPr>
      <w:r w:rsidRPr="00F761A0">
        <w:rPr>
          <w:rStyle w:val="Nmerodepgina"/>
          <w:rFonts w:ascii="Palatino Linotype" w:hAnsi="Palatino Linotype"/>
          <w:sz w:val="22"/>
          <w:lang w:val="es-ES"/>
        </w:rPr>
        <w:t>Perspectivas po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s-colonia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, subalternas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proofErr w:type="spellStart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decentered</w:t>
      </w:r>
      <w:proofErr w:type="spellEnd"/>
      <w:r w:rsidR="006A6B58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>,</w:t>
      </w:r>
      <w:r w:rsidR="0085782C" w:rsidRPr="00F761A0">
        <w:rPr>
          <w:rStyle w:val="Nmerodepgina"/>
          <w:rFonts w:ascii="Palatino Linotype" w:hAnsi="Palatino Linotype"/>
          <w:i/>
          <w:iCs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a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cerca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 xml:space="preserve">de la relación 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entre género </w:t>
      </w:r>
      <w:r w:rsidRPr="00F761A0">
        <w:rPr>
          <w:rStyle w:val="Nmerodepgina"/>
          <w:rFonts w:ascii="Palatino Linotype" w:hAnsi="Palatino Linotype"/>
          <w:sz w:val="22"/>
          <w:lang w:val="es-ES"/>
        </w:rPr>
        <w:t>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busca de </w:t>
      </w:r>
      <w:r w:rsidR="009E0C40" w:rsidRPr="00F761A0">
        <w:rPr>
          <w:rStyle w:val="Nmerodepgina"/>
          <w:rFonts w:ascii="Palatino Linotype" w:hAnsi="Palatino Linotype"/>
          <w:i/>
          <w:sz w:val="22"/>
          <w:lang w:val="es-ES"/>
        </w:rPr>
        <w:t>status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por parte de a</w:t>
      </w:r>
      <w:r w:rsidR="00E336EB" w:rsidRPr="00F761A0">
        <w:rPr>
          <w:rStyle w:val="Nmerodepgina"/>
          <w:rFonts w:ascii="Palatino Linotype" w:hAnsi="Palatino Linotype"/>
          <w:sz w:val="22"/>
          <w:lang w:val="es-ES"/>
        </w:rPr>
        <w:t>c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tores regiona</w:t>
      </w:r>
      <w:r w:rsidR="00E336EB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>, internaciona</w:t>
      </w:r>
      <w:r w:rsidR="00E336EB" w:rsidRPr="00F761A0">
        <w:rPr>
          <w:rStyle w:val="Nmerodepgina"/>
          <w:rFonts w:ascii="Palatino Linotype" w:hAnsi="Palatino Linotype"/>
          <w:sz w:val="22"/>
          <w:lang w:val="es-ES"/>
        </w:rPr>
        <w:t>les y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 transnaciona</w:t>
      </w:r>
      <w:r w:rsidR="00E336EB" w:rsidRPr="00F761A0">
        <w:rPr>
          <w:rStyle w:val="Nmerodepgina"/>
          <w:rFonts w:ascii="Palatino Linotype" w:hAnsi="Palatino Linotype"/>
          <w:sz w:val="22"/>
          <w:lang w:val="es-ES"/>
        </w:rPr>
        <w:t>les</w:t>
      </w:r>
      <w:r w:rsidR="006A6B58" w:rsidRPr="00F761A0">
        <w:rPr>
          <w:rStyle w:val="Nmerodepgina"/>
          <w:rFonts w:ascii="Palatino Linotype" w:hAnsi="Palatino Linotype"/>
          <w:sz w:val="22"/>
          <w:lang w:val="es-ES"/>
        </w:rPr>
        <w:t xml:space="preserve">. </w:t>
      </w:r>
    </w:p>
    <w:p w14:paraId="658C2C69" w14:textId="30E4A087" w:rsidR="00CF34A7" w:rsidRPr="00F761A0" w:rsidRDefault="006A6B58" w:rsidP="002F1CFB">
      <w:pPr>
        <w:pStyle w:val="Body"/>
        <w:spacing w:after="120"/>
        <w:ind w:left="851" w:hanging="851"/>
        <w:jc w:val="both"/>
        <w:rPr>
          <w:rStyle w:val="Nmerodepgina"/>
          <w:rFonts w:ascii="Palatino Linotype" w:hAnsi="Palatino Linotype"/>
          <w:b/>
          <w:bCs/>
          <w:sz w:val="22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b/>
          <w:bCs/>
          <w:sz w:val="22"/>
          <w:lang w:val="en-US"/>
        </w:rPr>
        <w:t>Refer</w:t>
      </w:r>
      <w:r w:rsidR="00F761A0" w:rsidRPr="00F761A0">
        <w:rPr>
          <w:rStyle w:val="Nmerodepgina"/>
          <w:rFonts w:ascii="Palatino Linotype" w:hAnsi="Palatino Linotype"/>
          <w:b/>
          <w:bCs/>
          <w:sz w:val="22"/>
          <w:lang w:val="en-US"/>
        </w:rPr>
        <w:t>e</w:t>
      </w:r>
      <w:r w:rsidRPr="00F761A0">
        <w:rPr>
          <w:rStyle w:val="Nmerodepgina"/>
          <w:rFonts w:ascii="Palatino Linotype" w:hAnsi="Palatino Linotype"/>
          <w:b/>
          <w:bCs/>
          <w:sz w:val="22"/>
          <w:lang w:val="en-US"/>
        </w:rPr>
        <w:t>ncias</w:t>
      </w:r>
      <w:proofErr w:type="spellEnd"/>
      <w:r w:rsidRPr="00F761A0">
        <w:rPr>
          <w:rStyle w:val="Nmerodepgina"/>
          <w:rFonts w:ascii="Palatino Linotype" w:hAnsi="Palatino Linotype"/>
          <w:b/>
          <w:bCs/>
          <w:sz w:val="22"/>
          <w:lang w:val="en-US"/>
        </w:rPr>
        <w:t>:</w:t>
      </w:r>
    </w:p>
    <w:p w14:paraId="6830F40F" w14:textId="311007A1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Abu-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Lughod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, Lila. 2009. “Dialects of Women’s Empowermen</w:t>
      </w:r>
      <w:r w:rsidR="00B05A28">
        <w:rPr>
          <w:rStyle w:val="Nmerodepgina"/>
          <w:rFonts w:ascii="Palatino Linotype" w:hAnsi="Palatino Linotype"/>
          <w:sz w:val="20"/>
          <w:szCs w:val="20"/>
          <w:lang w:val="en-US"/>
        </w:rPr>
        <w:t>t: The International Circuitry of t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he Arab Human Development Report 2005.”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International Journal of Middle East Studies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(41) 83–103.</w:t>
      </w:r>
    </w:p>
    <w:p w14:paraId="390FE1C7" w14:textId="77777777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Ahmed-Gosh, Huma. 2015.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Contesting Feminisms - Gender and Islam in Asia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. Albany: SUNY Press.</w:t>
      </w:r>
    </w:p>
    <w:p w14:paraId="31557293" w14:textId="450F9DF6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Carvalho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Pinto,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Vânia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2018, </w:t>
      </w:r>
      <w:proofErr w:type="spellStart"/>
      <w:r w:rsidR="0000649E">
        <w:rPr>
          <w:rStyle w:val="Nmerodepgina"/>
          <w:rFonts w:ascii="Palatino Linotype" w:hAnsi="Palatino Linotype"/>
          <w:sz w:val="20"/>
          <w:szCs w:val="20"/>
          <w:lang w:val="en-US"/>
        </w:rPr>
        <w:t>prensa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. “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Signalling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for status: UAE and women's rights.”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 xml:space="preserve">Contexto internacional: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>journal</w:t>
      </w:r>
      <w:proofErr w:type="spellEnd"/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 xml:space="preserve">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>of</w:t>
      </w:r>
      <w:proofErr w:type="spellEnd"/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 xml:space="preserve"> global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>connections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</w:rPr>
        <w:t>.</w:t>
      </w:r>
    </w:p>
    <w:p w14:paraId="36193EBB" w14:textId="77777777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</w:rPr>
        <w:t xml:space="preserve">De Carvalho, Benjamin e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</w:rPr>
        <w:t>Iver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</w:rPr>
        <w:t xml:space="preserve"> B.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</w:rPr>
        <w:t>Neumann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</w:rPr>
        <w:t xml:space="preserve"> (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</w:rPr>
        <w:t>orgs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</w:rPr>
        <w:t xml:space="preserve">.).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2015.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Small state status seeking. Norway’s Quest for International Standing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New York,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Abindon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: Routledge.</w:t>
      </w:r>
    </w:p>
    <w:p w14:paraId="018850CC" w14:textId="77777777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Derichs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Claudia (in cooperation with) Dana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Fennert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2014.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Women's Movements and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Countermovements</w:t>
      </w:r>
      <w:proofErr w:type="spellEnd"/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. The Quest for Gender Equality in Southeast Asia and the Middle East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. Cambridge: Cambridge Scholars Press.</w:t>
      </w:r>
    </w:p>
    <w:p w14:paraId="659052D0" w14:textId="0D2E61D8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Gong,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Gerrit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W. 2002. “Standards of Civilization Today.”</w:t>
      </w:r>
      <w:r w:rsidR="0085782C"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In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Globalization and Civilizations,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organized by Mehdi </w:t>
      </w:r>
      <w:proofErr w:type="spellStart"/>
      <w:proofErr w:type="gram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Mozaffari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,</w:t>
      </w:r>
      <w:proofErr w:type="gramEnd"/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77-96. New York: Routledge.</w:t>
      </w:r>
    </w:p>
    <w:p w14:paraId="6CC5D1F3" w14:textId="11793262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Gündüz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Z. Y. 2015. “Gendering the neighbors: The European Union’s policies on gender and equality on Saharan Africa and Central Asia.” In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The European Union’s Broader Neighborhood: Challenges and opportunities for cooperation beyond the European Neighborhood Policy,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organized by S.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Gstöhl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e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E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Lannon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, 162-186. Abingdon: Routledge.</w:t>
      </w:r>
    </w:p>
    <w:p w14:paraId="7C143B27" w14:textId="4B77A144" w:rsidR="00F32223" w:rsidRPr="00F761A0" w:rsidRDefault="00F32223" w:rsidP="004D261D">
      <w:pPr>
        <w:pStyle w:val="Body"/>
        <w:tabs>
          <w:tab w:val="left" w:pos="1610"/>
        </w:tabs>
        <w:spacing w:after="120"/>
        <w:ind w:left="284" w:hanging="284"/>
        <w:jc w:val="both"/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Jakobsen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Peter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Viggo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Jens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Ringsmose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and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Ha</w:t>
      </w:r>
      <w:r w:rsidRPr="00F761A0">
        <w:rPr>
          <w:rStyle w:val="Nmerodepgina"/>
          <w:rFonts w:ascii="Times New Roman" w:hAnsi="Times New Roman" w:cs="Times New Roman"/>
          <w:sz w:val="20"/>
          <w:szCs w:val="20"/>
          <w:lang w:val="en-US"/>
        </w:rPr>
        <w:t>̊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kon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Lunde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Saxi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2018. </w:t>
      </w:r>
      <w:r w:rsidRPr="00F761A0">
        <w:rPr>
          <w:rStyle w:val="Nmerodepgina"/>
          <w:rFonts w:ascii="Palatino Linotype" w:hAnsi="Palatino Linotype" w:cs="Palatino Linotype"/>
          <w:sz w:val="20"/>
          <w:szCs w:val="20"/>
          <w:lang w:val="en-US"/>
        </w:rPr>
        <w:t>“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Prestige-seeking small states: Danish and Norwegian military contributions to US-led operations.”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European Journal of International Security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(3) 2.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 DOI:10.1017/eis.2017.20</w:t>
      </w:r>
    </w:p>
    <w:p w14:paraId="2F2E4C51" w14:textId="5B674C31" w:rsidR="00F32223" w:rsidRPr="00F761A0" w:rsidRDefault="00F32223" w:rsidP="004D261D">
      <w:pPr>
        <w:pStyle w:val="Body"/>
        <w:tabs>
          <w:tab w:val="left" w:pos="1610"/>
        </w:tabs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Jayawardena,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Kumari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1994.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Feminism and Nationalism in the Third World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, London: Atlantic Highlands; New Jersey: Zed Books.</w:t>
      </w:r>
      <w:r w:rsidR="0085782C"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</w:t>
      </w:r>
    </w:p>
    <w:p w14:paraId="1E3290BA" w14:textId="326363A3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Larson, Deborah Welch, T. V. Paul and William C.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Wohlforth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2014. “Status and World Order.” In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Status in World Politics,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organized by T.V. Paul, Deborah Welch Larson and William C.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Wohlforth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, 3-32. Cambridge: Cambridge University Press.</w:t>
      </w:r>
    </w:p>
    <w:p w14:paraId="14E6E61F" w14:textId="373F21E8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Mozaffari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M. 2001. “The Transformationalist Perspective and the Rise of a Global Standard of Civilization.”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International Relations of the Asia-Pacific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(1): 247-264.</w:t>
      </w:r>
    </w:p>
    <w:p w14:paraId="7916EFBA" w14:textId="01AE4D49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Pető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Andrea and Ian Manners. 2006. “The European Union and the Value of Gender Equality.” In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Values and Principles in European Union Foreign Policy,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organized by Sonia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Lucarelli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and Ian Manners, 97-113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.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London; NY: Routledge.</w:t>
      </w:r>
    </w:p>
    <w:p w14:paraId="7FF7A2CF" w14:textId="12F8BB68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Pu,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Xiaoyu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and Randall L.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Schweller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2014. “Status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Signalling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Multiple Audiences, and China’s Blue-Water Naval Ambition.” In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Status in World Politics,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organized by T.V. Paul, Deborah Welch Larson and William C.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Wohlforth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, 141-164. Cambridge: Cambridge University Press.</w:t>
      </w:r>
    </w:p>
    <w:p w14:paraId="5A2DE34C" w14:textId="6E5AF90B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Renshon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Jonathan. 2017.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Fighting for status. Hierarchy and conflict in world politics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. Princeton and Oxford: Princeton University Press.</w:t>
      </w:r>
    </w:p>
    <w:p w14:paraId="2D75BD71" w14:textId="59E96BC2" w:rsidR="00F32223" w:rsidRPr="00F761A0" w:rsidRDefault="00F32223" w:rsidP="004D261D">
      <w:pPr>
        <w:pStyle w:val="Body"/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Roces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Mina and Louise Edwards. 2010.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Women's Movements in Asia: Feminisms and Transnational Activisms in Asia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. London and New York: Routledge.</w:t>
      </w:r>
    </w:p>
    <w:p w14:paraId="5EE01C07" w14:textId="0B76EAB4" w:rsidR="00F32223" w:rsidRPr="00F761A0" w:rsidRDefault="00F32223" w:rsidP="004D261D">
      <w:pPr>
        <w:pStyle w:val="Body"/>
        <w:tabs>
          <w:tab w:val="left" w:pos="2480"/>
        </w:tabs>
        <w:spacing w:after="120"/>
        <w:ind w:left="284" w:hanging="284"/>
        <w:jc w:val="both"/>
        <w:rPr>
          <w:rStyle w:val="Nmerodepgina"/>
          <w:rFonts w:ascii="Palatino Linotype" w:eastAsia="Arial Unicode MS" w:hAnsi="Palatino Linotype" w:cs="Arial Unicode MS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lastRenderedPageBreak/>
        <w:t>Towns, Ann. 2007. “The Status of Women and the Ordering of Human Societies along the Stages of Civilization.” In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 Civilizational Identity: The Production and Reproduction of “Civilizations” in International Relations,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organized by Martin Hall and Patrick Thaddeus Jackson, 167-179. Basingstoke: Palgrave.</w:t>
      </w:r>
    </w:p>
    <w:p w14:paraId="7F46C50B" w14:textId="6BD20E46" w:rsidR="00F32223" w:rsidRPr="00F761A0" w:rsidRDefault="00F32223" w:rsidP="004D261D">
      <w:pPr>
        <w:pStyle w:val="Body"/>
        <w:tabs>
          <w:tab w:val="left" w:pos="2480"/>
        </w:tabs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Towns, Ann. 2016. “Civilization.” In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 Oxford Handbook on Feminist Theory,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organized by Lisa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Disch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and Mary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Hawkesworth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, 79-99. Oxford: Oxford University Press.</w:t>
      </w:r>
    </w:p>
    <w:p w14:paraId="5902322D" w14:textId="0F9CCF3C" w:rsidR="00F32223" w:rsidRPr="00F761A0" w:rsidRDefault="00F32223" w:rsidP="004D261D">
      <w:pPr>
        <w:pStyle w:val="Body"/>
        <w:tabs>
          <w:tab w:val="left" w:pos="1610"/>
        </w:tabs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Ward, Steven. 2017. “Lost in Translation: Social Identity Theory and the Study of Status in World Politics.”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International Studies Quarterly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(61): 821–834.</w:t>
      </w:r>
    </w:p>
    <w:p w14:paraId="444BD9DD" w14:textId="47B3BFA8" w:rsidR="00F32223" w:rsidRPr="00F761A0" w:rsidRDefault="00F32223" w:rsidP="004D261D">
      <w:pPr>
        <w:pStyle w:val="Body"/>
        <w:tabs>
          <w:tab w:val="left" w:pos="1610"/>
        </w:tabs>
        <w:spacing w:after="120"/>
        <w:ind w:left="284" w:hanging="284"/>
        <w:jc w:val="both"/>
        <w:rPr>
          <w:rStyle w:val="Nmerodepgina"/>
          <w:rFonts w:ascii="Palatino Linotype" w:hAnsi="Palatino Linotype"/>
          <w:sz w:val="20"/>
          <w:szCs w:val="20"/>
          <w:lang w:val="en-US"/>
        </w:rPr>
      </w:pP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Weiss,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Yoram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and Chaim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Fershtman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1998. “Social status and economic performance: A survey.”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>European Economic Review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(42): 801- 820.</w:t>
      </w:r>
    </w:p>
    <w:p w14:paraId="2CF1D43E" w14:textId="5C7A9452" w:rsidR="00F32223" w:rsidRPr="00F761A0" w:rsidRDefault="00F32223" w:rsidP="004D261D">
      <w:pPr>
        <w:pStyle w:val="Body"/>
        <w:spacing w:after="120"/>
        <w:ind w:left="284" w:hanging="284"/>
        <w:rPr>
          <w:rStyle w:val="Nmerodepgina"/>
          <w:rFonts w:ascii="Palatino Linotype" w:hAnsi="Palatino Linotype"/>
          <w:sz w:val="20"/>
          <w:szCs w:val="20"/>
          <w:lang w:val="en-US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Wohlforth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William C. et al. 2017. “Moral authority and status in International Relations: Good states and the social dimension of status seeking.” </w:t>
      </w:r>
      <w:r w:rsidRPr="00F761A0">
        <w:rPr>
          <w:rStyle w:val="Nmerodepgina"/>
          <w:rFonts w:ascii="Palatino Linotype" w:hAnsi="Palatino Linotype"/>
          <w:i/>
          <w:iCs/>
          <w:sz w:val="20"/>
          <w:szCs w:val="20"/>
          <w:lang w:val="en-US"/>
        </w:rPr>
        <w:t xml:space="preserve">Review of International Studies 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44(3): </w:t>
      </w:r>
      <w:r w:rsidRPr="00F761A0">
        <w:rPr>
          <w:rStyle w:val="Nmerodepgina"/>
          <w:rFonts w:ascii="Palatino Linotype" w:hAnsi="Palatino Linotype"/>
          <w:sz w:val="20"/>
          <w:szCs w:val="20"/>
          <w:shd w:val="clear" w:color="auto" w:fill="FFFFFF"/>
          <w:lang w:val="en-US"/>
        </w:rPr>
        <w:t>526-546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.</w:t>
      </w:r>
    </w:p>
    <w:p w14:paraId="54682A03" w14:textId="53BA1DB1" w:rsidR="00F32223" w:rsidRDefault="00F32223" w:rsidP="004D261D">
      <w:pPr>
        <w:pStyle w:val="Body"/>
        <w:tabs>
          <w:tab w:val="left" w:pos="1610"/>
        </w:tabs>
        <w:spacing w:after="120"/>
        <w:ind w:left="284" w:hanging="284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Zarakol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Ays</w:t>
      </w:r>
      <w:r w:rsidRPr="00F761A0">
        <w:rPr>
          <w:rStyle w:val="Nmerodepgina"/>
          <w:rFonts w:ascii="Times New Roman" w:hAnsi="Times New Roman" w:cs="Times New Roman"/>
          <w:sz w:val="20"/>
          <w:szCs w:val="20"/>
          <w:lang w:val="en-US"/>
        </w:rPr>
        <w:t>̧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e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. 2014. </w:t>
      </w:r>
      <w:r w:rsidRPr="00F761A0">
        <w:rPr>
          <w:rStyle w:val="Nmerodepgina"/>
          <w:rFonts w:ascii="Palatino Linotype" w:hAnsi="Palatino Linotype" w:cs="Palatino Linotype"/>
          <w:sz w:val="20"/>
          <w:szCs w:val="20"/>
          <w:lang w:val="en-US"/>
        </w:rPr>
        <w:t>“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What made the modern world hang together: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socialisation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or </w:t>
      </w:r>
      <w:proofErr w:type="spellStart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stigmatisation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>?</w:t>
      </w:r>
      <w:r w:rsidRPr="00F761A0">
        <w:rPr>
          <w:rStyle w:val="Nmerodepgina"/>
          <w:rFonts w:ascii="Palatino Linotype" w:hAnsi="Palatino Linotype" w:cs="Palatino Linotype"/>
          <w:sz w:val="20"/>
          <w:szCs w:val="20"/>
          <w:lang w:val="en-US"/>
        </w:rPr>
        <w:t>”</w:t>
      </w:r>
      <w:r w:rsidRPr="00F761A0">
        <w:rPr>
          <w:rStyle w:val="Nmerodepgina"/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>International</w:t>
      </w:r>
      <w:proofErr w:type="spellEnd"/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 xml:space="preserve"> </w:t>
      </w:r>
      <w:proofErr w:type="spellStart"/>
      <w:r w:rsidRPr="00F761A0">
        <w:rPr>
          <w:rStyle w:val="Nmerodepgina"/>
          <w:rFonts w:ascii="Palatino Linotype" w:hAnsi="Palatino Linotype"/>
          <w:i/>
          <w:iCs/>
          <w:sz w:val="20"/>
          <w:szCs w:val="20"/>
        </w:rPr>
        <w:t>Theory</w:t>
      </w:r>
      <w:proofErr w:type="spellEnd"/>
      <w:r w:rsidRPr="00F761A0">
        <w:rPr>
          <w:rStyle w:val="Nmerodepgina"/>
          <w:rFonts w:ascii="Palatino Linotype" w:hAnsi="Palatino Linotype"/>
          <w:sz w:val="20"/>
          <w:szCs w:val="20"/>
        </w:rPr>
        <w:t xml:space="preserve"> (6): 311-332.</w:t>
      </w:r>
      <w:r w:rsidRPr="00F761A0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</w:p>
    <w:p w14:paraId="22BD66F3" w14:textId="5D538AF1" w:rsidR="004D261D" w:rsidRPr="004D261D" w:rsidRDefault="00484B5F" w:rsidP="004D2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right="51"/>
        <w:rPr>
          <w:rFonts w:ascii="Cambria" w:eastAsia="Times New Roman" w:hAnsi="Cambria"/>
          <w:i/>
          <w:sz w:val="32"/>
          <w:bdr w:val="none" w:sz="0" w:space="0" w:color="auto"/>
          <w:lang w:val="es-ES" w:eastAsia="de-DE"/>
        </w:rPr>
      </w:pPr>
      <w:r w:rsidRPr="004D261D">
        <w:rPr>
          <w:rFonts w:ascii="Cambria" w:eastAsia="Times New Roman" w:hAnsi="Cambria"/>
          <w:noProof/>
          <w:sz w:val="20"/>
          <w:bdr w:val="none" w:sz="0" w:space="0" w:color="auto"/>
        </w:rPr>
        <w:drawing>
          <wp:anchor distT="0" distB="0" distL="114300" distR="114300" simplePos="0" relativeHeight="251659264" behindDoc="0" locked="0" layoutInCell="1" allowOverlap="1" wp14:anchorId="1F9E1BF2" wp14:editId="4E4F9F3E">
            <wp:simplePos x="0" y="0"/>
            <wp:positionH relativeFrom="margin">
              <wp:posOffset>3475990</wp:posOffset>
            </wp:positionH>
            <wp:positionV relativeFrom="margin">
              <wp:posOffset>2731135</wp:posOffset>
            </wp:positionV>
            <wp:extent cx="2321560" cy="2291715"/>
            <wp:effectExtent l="0" t="0" r="2540" b="0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D261D" w:rsidRPr="004D261D">
        <w:rPr>
          <w:rFonts w:ascii="Cambria" w:eastAsia="Times New Roman" w:hAnsi="Cambria"/>
          <w:b/>
          <w:i/>
          <w:sz w:val="32"/>
          <w:bdr w:val="none" w:sz="0" w:space="0" w:color="auto"/>
          <w:lang w:val="es-ES" w:eastAsia="de-DE"/>
        </w:rPr>
        <w:t>ex</w:t>
      </w:r>
      <w:proofErr w:type="gramEnd"/>
      <w:r w:rsidR="004D261D" w:rsidRPr="004D261D">
        <w:rPr>
          <w:rFonts w:ascii="Cambria" w:eastAsia="Times New Roman" w:hAnsi="Cambria"/>
          <w:b/>
          <w:i/>
          <w:sz w:val="32"/>
          <w:bdr w:val="none" w:sz="0" w:space="0" w:color="auto"/>
          <w:lang w:val="es-ES" w:eastAsia="de-DE"/>
        </w:rPr>
        <w:t xml:space="preserve"> </w:t>
      </w:r>
      <w:proofErr w:type="spellStart"/>
      <w:r w:rsidR="004D261D" w:rsidRPr="004D261D">
        <w:rPr>
          <w:rFonts w:ascii="Cambria" w:eastAsia="Times New Roman" w:hAnsi="Cambria"/>
          <w:b/>
          <w:i/>
          <w:sz w:val="32"/>
          <w:bdr w:val="none" w:sz="0" w:space="0" w:color="auto"/>
          <w:lang w:val="es-ES" w:eastAsia="de-DE"/>
        </w:rPr>
        <w:t>æquo</w:t>
      </w:r>
      <w:proofErr w:type="spellEnd"/>
      <w:r w:rsidR="004D261D" w:rsidRPr="004D261D">
        <w:rPr>
          <w:rFonts w:ascii="Cambria" w:eastAsia="Times New Roman" w:hAnsi="Cambria"/>
          <w:i/>
          <w:sz w:val="32"/>
          <w:bdr w:val="none" w:sz="0" w:space="0" w:color="auto"/>
          <w:lang w:val="es-ES" w:eastAsia="de-DE"/>
        </w:rPr>
        <w:t xml:space="preserve"> </w:t>
      </w:r>
    </w:p>
    <w:p w14:paraId="57232B14" w14:textId="6DD346E4" w:rsidR="004D261D" w:rsidRPr="00B11300" w:rsidRDefault="004D261D" w:rsidP="004D2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</w:pPr>
      <w:proofErr w:type="gramStart"/>
      <w:r w:rsidRPr="00B11300"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  <w:t>es</w:t>
      </w:r>
      <w:proofErr w:type="gramEnd"/>
      <w:r w:rsidRPr="00B11300"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  <w:t xml:space="preserve"> una revista internacional publicada semestralmente desde 1999, editada por la Asociación Portuguesa de Estudios de las Mujeres – APEM, en colaboración con ediciones </w:t>
      </w:r>
      <w:proofErr w:type="spellStart"/>
      <w:r w:rsidRPr="00B11300"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  <w:t>Afrontamento</w:t>
      </w:r>
      <w:proofErr w:type="spellEnd"/>
      <w:r w:rsidRPr="00B11300"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  <w:t xml:space="preserve">. </w:t>
      </w:r>
      <w:r w:rsidRPr="00B11300">
        <w:rPr>
          <w:rFonts w:ascii="Calibri Light" w:eastAsia="Times New Roman" w:hAnsi="Calibri Light" w:cs="Calibri Light"/>
          <w:color w:val="595959"/>
          <w:sz w:val="20"/>
          <w:szCs w:val="20"/>
          <w:bdr w:val="none" w:sz="0" w:space="0" w:color="auto"/>
          <w:lang w:val="es-ES_tradnl" w:eastAsia="de-DE"/>
        </w:rPr>
        <w:t>(http://exaequo.apem-estudos.org/page/apresentacao-da-revista?lingua=en)</w:t>
      </w:r>
    </w:p>
    <w:p w14:paraId="7B387DF2" w14:textId="57203484" w:rsidR="004D261D" w:rsidRPr="00B11300" w:rsidRDefault="004D261D" w:rsidP="004D2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</w:pPr>
      <w:proofErr w:type="gramStart"/>
      <w:r w:rsidRPr="00B11300">
        <w:rPr>
          <w:rFonts w:ascii="Calibri Light" w:eastAsia="Times New Roman" w:hAnsi="Calibri Light" w:cs="Calibri Light"/>
          <w:b/>
          <w:i/>
          <w:sz w:val="20"/>
          <w:szCs w:val="20"/>
          <w:bdr w:val="none" w:sz="0" w:space="0" w:color="auto"/>
          <w:lang w:val="es-ES_tradnl" w:eastAsia="de-DE"/>
        </w:rPr>
        <w:t>ex</w:t>
      </w:r>
      <w:proofErr w:type="gramEnd"/>
      <w:r w:rsidRPr="00B11300">
        <w:rPr>
          <w:rFonts w:ascii="Calibri Light" w:eastAsia="Times New Roman" w:hAnsi="Calibri Light" w:cs="Calibri Light"/>
          <w:b/>
          <w:i/>
          <w:sz w:val="20"/>
          <w:szCs w:val="20"/>
          <w:bdr w:val="none" w:sz="0" w:space="0" w:color="auto"/>
          <w:lang w:val="es-ES_tradnl" w:eastAsia="de-DE"/>
        </w:rPr>
        <w:t xml:space="preserve"> </w:t>
      </w:r>
      <w:proofErr w:type="spellStart"/>
      <w:r w:rsidRPr="00B11300">
        <w:rPr>
          <w:rFonts w:ascii="Calibri Light" w:eastAsia="Times New Roman" w:hAnsi="Calibri Light" w:cs="Calibri Light"/>
          <w:b/>
          <w:i/>
          <w:sz w:val="20"/>
          <w:szCs w:val="20"/>
          <w:bdr w:val="none" w:sz="0" w:space="0" w:color="auto"/>
          <w:lang w:val="es-ES_tradnl" w:eastAsia="de-DE"/>
        </w:rPr>
        <w:t>æquo</w:t>
      </w:r>
      <w:proofErr w:type="spellEnd"/>
      <w:r w:rsidRPr="00B11300"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  <w:t xml:space="preserve"> intenta una audiencia internacional, y acepta manuscritos en Portugués, Inglés, Francés y Español, de varios países. Pretende garantizar la publicación de artículos que contribuyan significativamente al avance del conocimiento en el campo de estudios de la mujer, feministas y de género.</w:t>
      </w:r>
    </w:p>
    <w:p w14:paraId="4144AB65" w14:textId="492648C2" w:rsidR="004D261D" w:rsidRPr="00B11300" w:rsidRDefault="004D261D" w:rsidP="004D2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right="51"/>
        <w:rPr>
          <w:rFonts w:ascii="Calibri Light" w:eastAsia="Times New Roman" w:hAnsi="Calibri Light" w:cs="Calibri Light"/>
          <w:i/>
          <w:bdr w:val="none" w:sz="0" w:space="0" w:color="auto"/>
          <w:lang w:val="es-ES" w:eastAsia="de-DE"/>
        </w:rPr>
      </w:pPr>
      <w:r w:rsidRPr="00B11300"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  <w:t xml:space="preserve">Los artículos enviados a </w:t>
      </w:r>
      <w:r w:rsidRPr="00B11300">
        <w:rPr>
          <w:rFonts w:ascii="Calibri Light" w:eastAsia="Times New Roman" w:hAnsi="Calibri Light" w:cs="Calibri Light"/>
          <w:b/>
          <w:i/>
          <w:sz w:val="20"/>
          <w:szCs w:val="20"/>
          <w:bdr w:val="none" w:sz="0" w:space="0" w:color="auto"/>
          <w:lang w:val="es-ES_tradnl" w:eastAsia="de-DE"/>
        </w:rPr>
        <w:t xml:space="preserve">ex </w:t>
      </w:r>
      <w:proofErr w:type="spellStart"/>
      <w:r w:rsidRPr="00B11300">
        <w:rPr>
          <w:rFonts w:ascii="Calibri Light" w:eastAsia="Times New Roman" w:hAnsi="Calibri Light" w:cs="Calibri Light"/>
          <w:b/>
          <w:i/>
          <w:sz w:val="20"/>
          <w:szCs w:val="20"/>
          <w:bdr w:val="none" w:sz="0" w:space="0" w:color="auto"/>
          <w:lang w:val="es-ES_tradnl" w:eastAsia="de-DE"/>
        </w:rPr>
        <w:t>æquo</w:t>
      </w:r>
      <w:proofErr w:type="spellEnd"/>
      <w:r w:rsidRPr="00B11300"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_tradnl" w:eastAsia="de-DE"/>
        </w:rPr>
        <w:t xml:space="preserve"> para publicación son sometidos, bajo anonimato, un proceso de arbitraje independiente dual (revisión doble ciega) por expertos nacionales e internacionales en el área respectiva en la que el texto se inscribe. </w:t>
      </w:r>
      <w:r w:rsidRPr="00B11300">
        <w:rPr>
          <w:rFonts w:ascii="Calibri Light" w:eastAsia="Times New Roman" w:hAnsi="Calibri Light" w:cs="Calibri Light"/>
          <w:color w:val="595959"/>
          <w:spacing w:val="-15"/>
          <w:sz w:val="20"/>
          <w:szCs w:val="20"/>
          <w:bdr w:val="none" w:sz="0" w:space="0" w:color="auto"/>
          <w:lang w:val="es-ES" w:eastAsia="de-DE"/>
        </w:rPr>
        <w:t>Está indexada en:</w:t>
      </w:r>
    </w:p>
    <w:p w14:paraId="02700C8D" w14:textId="6F3C8D4C" w:rsidR="004D261D" w:rsidRPr="004D261D" w:rsidRDefault="004D261D" w:rsidP="004D2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bdr w:val="none" w:sz="0" w:space="0" w:color="auto"/>
          <w:lang w:val="es-ES" w:eastAsia="de-DE"/>
        </w:rPr>
      </w:pPr>
      <w:proofErr w:type="gramStart"/>
      <w:r w:rsidRPr="00B11300">
        <w:rPr>
          <w:rFonts w:ascii="Calibri Light" w:eastAsia="Times New Roman" w:hAnsi="Calibri Light" w:cs="Calibri Light"/>
          <w:b/>
          <w:i/>
          <w:bdr w:val="none" w:sz="0" w:space="0" w:color="auto"/>
          <w:lang w:val="es-ES_tradnl" w:eastAsia="de-DE"/>
        </w:rPr>
        <w:t>ex</w:t>
      </w:r>
      <w:proofErr w:type="gramEnd"/>
      <w:r w:rsidRPr="00B11300">
        <w:rPr>
          <w:rFonts w:ascii="Calibri Light" w:eastAsia="Times New Roman" w:hAnsi="Calibri Light" w:cs="Calibri Light"/>
          <w:b/>
          <w:i/>
          <w:bdr w:val="none" w:sz="0" w:space="0" w:color="auto"/>
          <w:lang w:val="es-ES_tradnl" w:eastAsia="de-DE"/>
        </w:rPr>
        <w:t xml:space="preserve"> </w:t>
      </w:r>
      <w:proofErr w:type="spellStart"/>
      <w:r w:rsidRPr="00B11300">
        <w:rPr>
          <w:rFonts w:ascii="Calibri Light" w:eastAsia="Times New Roman" w:hAnsi="Calibri Light" w:cs="Calibri Light"/>
          <w:b/>
          <w:i/>
          <w:bdr w:val="none" w:sz="0" w:space="0" w:color="auto"/>
          <w:lang w:val="es-ES_tradnl" w:eastAsia="de-DE"/>
        </w:rPr>
        <w:t>æquo</w:t>
      </w:r>
      <w:proofErr w:type="spellEnd"/>
      <w:r w:rsidRPr="00B11300">
        <w:rPr>
          <w:rFonts w:ascii="Calibri Light" w:eastAsia="Times New Roman" w:hAnsi="Calibri Light" w:cs="Calibri Light"/>
          <w:i/>
          <w:bdr w:val="none" w:sz="0" w:space="0" w:color="auto"/>
          <w:lang w:val="es-ES_tradnl" w:eastAsia="de-DE"/>
        </w:rPr>
        <w:t xml:space="preserve"> </w:t>
      </w:r>
      <w:r w:rsidRPr="00B11300">
        <w:rPr>
          <w:rFonts w:ascii="Calibri Light" w:eastAsia="Times New Roman" w:hAnsi="Calibri Light" w:cs="Calibri Light"/>
          <w:sz w:val="20"/>
          <w:bdr w:val="none" w:sz="0" w:space="0" w:color="auto"/>
          <w:lang w:val="es-ES" w:eastAsia="de-DE"/>
        </w:rPr>
        <w:t>es patrocinada por la Fundación Portuguesa de Ciencia y Tecnología (FCT)</w:t>
      </w:r>
      <w:r w:rsidRPr="004D261D">
        <w:rPr>
          <w:rFonts w:ascii="Cambria" w:eastAsia="Times New Roman" w:hAnsi="Cambria" w:cs="Calibri"/>
          <w:sz w:val="20"/>
          <w:bdr w:val="none" w:sz="0" w:space="0" w:color="auto"/>
          <w:lang w:val="es-ES" w:eastAsia="de-DE"/>
        </w:rPr>
        <w:t xml:space="preserve"> (</w:t>
      </w:r>
      <w:hyperlink r:id="rId22" w:anchor="sociais" w:history="1">
        <w:r w:rsidRPr="004D261D">
          <w:rPr>
            <w:rFonts w:ascii="Cambria" w:eastAsia="Times New Roman" w:hAnsi="Cambria" w:cs="Calibri"/>
            <w:color w:val="0563C1"/>
            <w:sz w:val="20"/>
            <w:u w:val="single"/>
            <w:bdr w:val="none" w:sz="0" w:space="0" w:color="auto"/>
            <w:lang w:val="es-ES" w:eastAsia="de-DE"/>
          </w:rPr>
          <w:t>http://alfa.fct.mctes.pt/apoios/facc/estatisticas/ periodicos_2002_2006#sociais</w:t>
        </w:r>
      </w:hyperlink>
      <w:r w:rsidRPr="004D261D">
        <w:rPr>
          <w:rFonts w:ascii="Cambria" w:eastAsia="Times New Roman" w:hAnsi="Cambria" w:cs="Calibri"/>
          <w:sz w:val="20"/>
          <w:bdr w:val="none" w:sz="0" w:space="0" w:color="auto"/>
          <w:lang w:val="es-ES" w:eastAsia="de-DE"/>
        </w:rPr>
        <w:t>).</w:t>
      </w:r>
    </w:p>
    <w:p w14:paraId="045CE176" w14:textId="107059D8" w:rsidR="004D261D" w:rsidRDefault="004D261D" w:rsidP="004D261D">
      <w:pPr>
        <w:pStyle w:val="Body"/>
        <w:tabs>
          <w:tab w:val="left" w:pos="1610"/>
        </w:tabs>
        <w:spacing w:after="120"/>
        <w:ind w:left="284" w:hanging="284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1B079203" w14:textId="2B15B0B8" w:rsidR="004D261D" w:rsidRPr="00B11300" w:rsidRDefault="004D261D" w:rsidP="004D261D">
      <w:pPr>
        <w:spacing w:line="360" w:lineRule="auto"/>
        <w:jc w:val="both"/>
        <w:rPr>
          <w:rFonts w:ascii="Calibri Light" w:hAnsi="Calibri Light" w:cs="Calibri Light"/>
          <w:b/>
          <w:lang w:val="es-ES"/>
        </w:rPr>
      </w:pPr>
      <w:r w:rsidRPr="00B11300">
        <w:rPr>
          <w:rFonts w:ascii="Calibri Light" w:hAnsi="Calibri Light" w:cs="Calibri Light"/>
          <w:b/>
          <w:lang w:val="es-ES"/>
        </w:rPr>
        <w:t>Plazo de envío:</w:t>
      </w:r>
    </w:p>
    <w:p w14:paraId="6CB8C656" w14:textId="788107F6" w:rsidR="00B05A28" w:rsidRPr="00B05A28" w:rsidRDefault="004D261D" w:rsidP="00484B5F">
      <w:pPr>
        <w:spacing w:line="276" w:lineRule="auto"/>
        <w:jc w:val="both"/>
        <w:rPr>
          <w:lang w:val="es-ES"/>
        </w:rPr>
      </w:pPr>
      <w:r w:rsidRPr="00B11300">
        <w:rPr>
          <w:rFonts w:ascii="Calibri Light" w:hAnsi="Calibri Light" w:cs="Calibri Light"/>
          <w:lang w:val="es-ES"/>
        </w:rPr>
        <w:t>Envío de artículos, con escrupuloso cumplimiento de las normas de la revista presentadas en http</w:t>
      </w:r>
      <w:proofErr w:type="gramStart"/>
      <w:r w:rsidRPr="00B11300">
        <w:rPr>
          <w:rFonts w:ascii="Calibri Light" w:hAnsi="Calibri Light" w:cs="Calibri Light"/>
          <w:lang w:val="es-ES"/>
        </w:rPr>
        <w:t>:/</w:t>
      </w:r>
      <w:proofErr w:type="gramEnd"/>
      <w:r w:rsidRPr="00B11300">
        <w:rPr>
          <w:rFonts w:ascii="Calibri Light" w:hAnsi="Calibri Light" w:cs="Calibri Light"/>
          <w:lang w:val="es-ES"/>
        </w:rPr>
        <w:t xml:space="preserve">/www.apem-estudos.org/es/page/submissao-de-artigos, hasta el </w:t>
      </w:r>
      <w:r w:rsidR="00B05A28" w:rsidRPr="00B11300">
        <w:rPr>
          <w:rFonts w:ascii="Calibri Light" w:hAnsi="Calibri Light" w:cs="Calibri Light"/>
          <w:lang w:val="es-ES"/>
        </w:rPr>
        <w:t>17</w:t>
      </w:r>
      <w:r w:rsidRPr="00B11300">
        <w:rPr>
          <w:rFonts w:ascii="Calibri Light" w:hAnsi="Calibri Light" w:cs="Calibri Light"/>
          <w:lang w:val="es-ES"/>
        </w:rPr>
        <w:t xml:space="preserve"> de </w:t>
      </w:r>
      <w:r w:rsidR="00484B5F" w:rsidRPr="00B11300">
        <w:rPr>
          <w:rFonts w:ascii="Calibri Light" w:hAnsi="Calibri Light" w:cs="Calibri Light"/>
          <w:lang w:val="es-ES"/>
        </w:rPr>
        <w:t>Mayo</w:t>
      </w:r>
      <w:r w:rsidRPr="00B11300">
        <w:rPr>
          <w:rFonts w:ascii="Calibri Light" w:hAnsi="Calibri Light" w:cs="Calibri Light"/>
          <w:lang w:val="es-ES"/>
        </w:rPr>
        <w:t xml:space="preserve"> de 201</w:t>
      </w:r>
      <w:r w:rsidR="00484B5F" w:rsidRPr="00B11300">
        <w:rPr>
          <w:rFonts w:ascii="Calibri Light" w:hAnsi="Calibri Light" w:cs="Calibri Light"/>
          <w:lang w:val="es-ES"/>
        </w:rPr>
        <w:t>9</w:t>
      </w:r>
      <w:r w:rsidRPr="00B11300">
        <w:rPr>
          <w:rFonts w:ascii="Calibri Light" w:hAnsi="Calibri Light" w:cs="Calibri Light"/>
          <w:lang w:val="es-ES"/>
        </w:rPr>
        <w:t xml:space="preserve">, a </w:t>
      </w:r>
      <w:r w:rsidR="00484B5F" w:rsidRPr="00B11300">
        <w:rPr>
          <w:rFonts w:ascii="Calibri Light" w:hAnsi="Calibri Light" w:cs="Calibri Light"/>
          <w:lang w:val="es-ES"/>
        </w:rPr>
        <w:t>la dirección apem1991@gmail.com</w:t>
      </w:r>
      <w:r w:rsidRPr="00B11300">
        <w:rPr>
          <w:rFonts w:ascii="Calibri Light" w:hAnsi="Calibri Light" w:cs="Calibri Light"/>
          <w:lang w:val="es-ES"/>
        </w:rPr>
        <w:t>. Lo</w:t>
      </w:r>
      <w:bookmarkStart w:id="0" w:name="_GoBack"/>
      <w:bookmarkEnd w:id="0"/>
      <w:r w:rsidRPr="00B11300">
        <w:rPr>
          <w:rFonts w:ascii="Calibri Light" w:hAnsi="Calibri Light" w:cs="Calibri Light"/>
          <w:lang w:val="es-ES"/>
        </w:rPr>
        <w:t xml:space="preserve">s textos que no respeten las normas en cuanto a la extensión, al formato y al modo de citar y referenciar las fuentes bibliográficas serán excluidos en una primera clasificación antes de ser enviados a arbitraje científico. En el plazo de cuatro semanas después de la fecha límite de recepción, las/los autoras/es recibirán la información sobre los resultados de la primera clasificación y el paso a la etapa siguiente, es decir, el envío, bajo anonimato, al doble arbitraje científico del texto. La fecha prevista de salida de este número es </w:t>
      </w:r>
      <w:r w:rsidR="00484B5F" w:rsidRPr="00B11300">
        <w:rPr>
          <w:rFonts w:ascii="Calibri Light" w:hAnsi="Calibri Light" w:cs="Calibri Light"/>
          <w:lang w:val="es-ES"/>
        </w:rPr>
        <w:t>Diciembre</w:t>
      </w:r>
      <w:r w:rsidRPr="00B11300">
        <w:rPr>
          <w:rFonts w:ascii="Calibri Light" w:hAnsi="Calibri Light" w:cs="Calibri Light"/>
          <w:lang w:val="es-ES"/>
        </w:rPr>
        <w:t xml:space="preserve"> de 2019.</w:t>
      </w:r>
    </w:p>
    <w:p w14:paraId="4C9E3267" w14:textId="77777777" w:rsidR="00B05A28" w:rsidRPr="00B05A28" w:rsidRDefault="00B05A28" w:rsidP="00B05A28">
      <w:pPr>
        <w:rPr>
          <w:lang w:val="es-ES"/>
        </w:rPr>
      </w:pPr>
    </w:p>
    <w:p w14:paraId="6BB97576" w14:textId="77777777" w:rsidR="00B05A28" w:rsidRPr="00B05A28" w:rsidRDefault="00B05A28" w:rsidP="00B05A28">
      <w:pPr>
        <w:rPr>
          <w:lang w:val="es-ES"/>
        </w:rPr>
      </w:pPr>
    </w:p>
    <w:p w14:paraId="4AF6D946" w14:textId="77777777" w:rsidR="00B05A28" w:rsidRPr="00B05A28" w:rsidRDefault="00B05A28" w:rsidP="00B05A28">
      <w:pPr>
        <w:rPr>
          <w:lang w:val="es-ES"/>
        </w:rPr>
      </w:pPr>
    </w:p>
    <w:p w14:paraId="5D57EBFC" w14:textId="77777777" w:rsidR="00B05A28" w:rsidRPr="00B05A28" w:rsidRDefault="00B05A28" w:rsidP="00B05A28">
      <w:pPr>
        <w:rPr>
          <w:lang w:val="es-ES"/>
        </w:rPr>
      </w:pPr>
    </w:p>
    <w:p w14:paraId="08CBC2B3" w14:textId="77777777" w:rsidR="00B05A28" w:rsidRPr="00B05A28" w:rsidRDefault="00B05A28" w:rsidP="00B05A28">
      <w:pPr>
        <w:rPr>
          <w:lang w:val="es-ES"/>
        </w:rPr>
      </w:pPr>
    </w:p>
    <w:p w14:paraId="6A198C18" w14:textId="77777777" w:rsidR="00B05A28" w:rsidRPr="00B05A28" w:rsidRDefault="00B05A28" w:rsidP="00B05A28">
      <w:pPr>
        <w:rPr>
          <w:lang w:val="es-ES"/>
        </w:rPr>
      </w:pPr>
    </w:p>
    <w:p w14:paraId="02F08D68" w14:textId="77777777" w:rsidR="00B05A28" w:rsidRPr="00B05A28" w:rsidRDefault="00B05A28" w:rsidP="00B05A28">
      <w:pPr>
        <w:rPr>
          <w:lang w:val="es-ES"/>
        </w:rPr>
      </w:pPr>
    </w:p>
    <w:p w14:paraId="3EC3CB54" w14:textId="77777777" w:rsidR="00B05A28" w:rsidRPr="00B05A28" w:rsidRDefault="00B05A28" w:rsidP="00B05A28">
      <w:pPr>
        <w:rPr>
          <w:lang w:val="es-ES"/>
        </w:rPr>
      </w:pPr>
    </w:p>
    <w:p w14:paraId="0121C3CC" w14:textId="77777777" w:rsidR="00B05A28" w:rsidRPr="00B05A28" w:rsidRDefault="00B05A28" w:rsidP="00B05A28">
      <w:pPr>
        <w:rPr>
          <w:lang w:val="es-ES"/>
        </w:rPr>
      </w:pPr>
    </w:p>
    <w:p w14:paraId="7BA73633" w14:textId="07612821" w:rsidR="00B05A28" w:rsidRDefault="00B05A28" w:rsidP="00B05A28">
      <w:pPr>
        <w:rPr>
          <w:lang w:val="es-ES"/>
        </w:rPr>
      </w:pPr>
    </w:p>
    <w:p w14:paraId="354D2440" w14:textId="103B0556" w:rsidR="00B05A28" w:rsidRDefault="00B05A28" w:rsidP="00B05A28">
      <w:pPr>
        <w:jc w:val="right"/>
        <w:rPr>
          <w:rFonts w:ascii="Palatino Linotype" w:hAnsi="Palatino Linotype"/>
          <w:lang w:val="es-ES"/>
        </w:rPr>
      </w:pPr>
    </w:p>
    <w:p w14:paraId="1BDA280C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5BC3526C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33ABDC7F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458C23E5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26ED3B8D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3606B856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6FB58B5E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6708E15C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3EB1F1FB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622046CE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14F537A1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765547E8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6A72B3E6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516B0225" w14:textId="77777777" w:rsidR="00B05A28" w:rsidRPr="00B05A28" w:rsidRDefault="00B05A28" w:rsidP="00B05A28">
      <w:pPr>
        <w:rPr>
          <w:rFonts w:ascii="Palatino Linotype" w:hAnsi="Palatino Linotype"/>
          <w:lang w:val="es-ES"/>
        </w:rPr>
      </w:pPr>
    </w:p>
    <w:p w14:paraId="43488098" w14:textId="113E328A" w:rsidR="00B05A28" w:rsidRDefault="00B05A28" w:rsidP="00B05A28">
      <w:pPr>
        <w:rPr>
          <w:rFonts w:ascii="Palatino Linotype" w:hAnsi="Palatino Linotype"/>
          <w:lang w:val="es-ES"/>
        </w:rPr>
      </w:pPr>
    </w:p>
    <w:p w14:paraId="1A259D98" w14:textId="77777777" w:rsidR="004D261D" w:rsidRPr="00B05A28" w:rsidRDefault="004D261D" w:rsidP="00B05A28">
      <w:pPr>
        <w:jc w:val="right"/>
        <w:rPr>
          <w:rFonts w:ascii="Palatino Linotype" w:hAnsi="Palatino Linotype"/>
          <w:lang w:val="es-ES"/>
        </w:rPr>
      </w:pPr>
    </w:p>
    <w:sectPr w:rsidR="004D261D" w:rsidRPr="00B05A28" w:rsidSect="00B05A28">
      <w:footerReference w:type="default" r:id="rId23"/>
      <w:pgSz w:w="11900" w:h="16840"/>
      <w:pgMar w:top="851" w:right="985" w:bottom="851" w:left="1797" w:header="709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B883B" w14:textId="77777777" w:rsidR="008345C2" w:rsidRDefault="008345C2">
      <w:r>
        <w:separator/>
      </w:r>
    </w:p>
  </w:endnote>
  <w:endnote w:type="continuationSeparator" w:id="0">
    <w:p w14:paraId="779C2C0F" w14:textId="77777777" w:rsidR="008345C2" w:rsidRDefault="0083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AD737" w14:textId="77777777" w:rsidR="005B3095" w:rsidRPr="00B05A28" w:rsidRDefault="005B3095">
    <w:pPr>
      <w:pStyle w:val="Rodap"/>
      <w:tabs>
        <w:tab w:val="clear" w:pos="8640"/>
        <w:tab w:val="right" w:pos="8286"/>
      </w:tabs>
      <w:jc w:val="right"/>
      <w:rPr>
        <w:rFonts w:ascii="Palatino Linotype" w:hAnsi="Palatino Linotype"/>
        <w:sz w:val="20"/>
      </w:rPr>
    </w:pPr>
    <w:r w:rsidRPr="00B05A28">
      <w:rPr>
        <w:rFonts w:ascii="Palatino Linotype" w:hAnsi="Palatino Linotype"/>
        <w:sz w:val="20"/>
      </w:rPr>
      <w:fldChar w:fldCharType="begin"/>
    </w:r>
    <w:r w:rsidRPr="00B05A28">
      <w:rPr>
        <w:rFonts w:ascii="Palatino Linotype" w:hAnsi="Palatino Linotype"/>
        <w:sz w:val="20"/>
      </w:rPr>
      <w:instrText xml:space="preserve"> PAGE </w:instrText>
    </w:r>
    <w:r w:rsidRPr="00B05A28">
      <w:rPr>
        <w:rFonts w:ascii="Palatino Linotype" w:hAnsi="Palatino Linotype"/>
        <w:sz w:val="20"/>
      </w:rPr>
      <w:fldChar w:fldCharType="separate"/>
    </w:r>
    <w:r w:rsidR="00B11300">
      <w:rPr>
        <w:rFonts w:ascii="Palatino Linotype" w:hAnsi="Palatino Linotype"/>
        <w:noProof/>
        <w:sz w:val="20"/>
      </w:rPr>
      <w:t>6</w:t>
    </w:r>
    <w:r w:rsidRPr="00B05A28">
      <w:rPr>
        <w:rFonts w:ascii="Palatino Linotype" w:hAnsi="Palatino Linotyp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44C44" w14:textId="77777777" w:rsidR="008345C2" w:rsidRDefault="008345C2">
      <w:r>
        <w:separator/>
      </w:r>
    </w:p>
  </w:footnote>
  <w:footnote w:type="continuationSeparator" w:id="0">
    <w:p w14:paraId="3122FB99" w14:textId="77777777" w:rsidR="008345C2" w:rsidRDefault="008345C2">
      <w:r>
        <w:continuationSeparator/>
      </w:r>
    </w:p>
  </w:footnote>
  <w:footnote w:type="continuationNotice" w:id="1">
    <w:p w14:paraId="741BB704" w14:textId="77777777" w:rsidR="008345C2" w:rsidRDefault="008345C2"/>
  </w:footnote>
  <w:footnote w:id="2">
    <w:p w14:paraId="6ABA441D" w14:textId="650494E0" w:rsidR="005B3095" w:rsidRPr="00B05A28" w:rsidRDefault="005B3095" w:rsidP="00B05A28">
      <w:pPr>
        <w:pStyle w:val="Textodenotaderodap"/>
        <w:spacing w:line="200" w:lineRule="exact"/>
        <w:jc w:val="both"/>
        <w:rPr>
          <w:rFonts w:ascii="Palatino Linotype" w:hAnsi="Palatino Linotype"/>
          <w:sz w:val="18"/>
          <w:szCs w:val="18"/>
          <w:lang w:val="es-ES"/>
        </w:rPr>
      </w:pPr>
      <w:r w:rsidRPr="00B05A28">
        <w:rPr>
          <w:rStyle w:val="Nmerodepgina"/>
          <w:rFonts w:ascii="Palatino Linotype" w:hAnsi="Palatino Linotype"/>
          <w:sz w:val="18"/>
          <w:szCs w:val="18"/>
          <w:vertAlign w:val="superscript"/>
        </w:rPr>
        <w:footnoteRef/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proofErr w:type="spellStart"/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>Women’s</w:t>
      </w:r>
      <w:proofErr w:type="spellEnd"/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 xml:space="preserve"> Regional Network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es una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red de mu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je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res líderes d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 la sociedad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civil que traba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ja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para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el avance de los derechos de las mujeres y de la paz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regional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en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Afganistán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,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Paquist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án e I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ndia (https://www.womensregionalnetwork.org). </w:t>
      </w:r>
      <w:proofErr w:type="spellStart"/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>Afghan</w:t>
      </w:r>
      <w:proofErr w:type="spellEnd"/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 xml:space="preserve"> </w:t>
      </w:r>
      <w:proofErr w:type="spellStart"/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>Women’s</w:t>
      </w:r>
      <w:proofErr w:type="spellEnd"/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 xml:space="preserve"> Network</w:t>
      </w:r>
      <w:r w:rsidR="00C61496"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 xml:space="preserve">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es una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organiza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no gubernamental creada en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1996 por mu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jeres </w:t>
      </w:r>
      <w:proofErr w:type="spellStart"/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afegan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s</w:t>
      </w:r>
      <w:proofErr w:type="spellEnd"/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después de 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Confer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ncia Mundial sobre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as Mu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eres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en Pequín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, que traba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ja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para capacitar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as mu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eres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y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garanti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zar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su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participa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igualit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ria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n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la sociedad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proofErr w:type="spellStart"/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afeg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an</w:t>
      </w:r>
      <w:proofErr w:type="spellEnd"/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(http://www.awn-af.net). </w:t>
      </w:r>
      <w:proofErr w:type="spellStart"/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>Musawah</w:t>
      </w:r>
      <w:proofErr w:type="spellEnd"/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es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u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n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movim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i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ento global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por la igualdad y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just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icia en la fami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lia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musulmana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, liderado por feministas (http://www.musawah.org). </w:t>
      </w:r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lang w:val="es-ES"/>
        </w:rPr>
        <w:t>WLUML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</w:t>
      </w:r>
      <w:r w:rsidR="00B11300">
        <w:rPr>
          <w:rStyle w:val="Nmerodepgina"/>
          <w:rFonts w:ascii="Palatino Linotype" w:hAnsi="Palatino Linotype"/>
          <w:sz w:val="18"/>
          <w:szCs w:val="18"/>
          <w:lang w:val="es-ES"/>
        </w:rPr>
        <w:t>ra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una red internacional de solidaridad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que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ofrece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informa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ción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, apo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y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o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y un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espa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cio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cole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tivo para mu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eres cu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y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as vidas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son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determinadas, condicionadas o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gobernadas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por le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yes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y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costum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br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es sup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ues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tamente </w:t>
      </w:r>
      <w:proofErr w:type="gramStart"/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derivados</w:t>
      </w:r>
      <w:proofErr w:type="gramEnd"/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del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Isl</w:t>
      </w:r>
      <w:r w:rsidR="00F141D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án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(http://www.wluml.org). </w:t>
      </w:r>
    </w:p>
  </w:footnote>
  <w:footnote w:id="3">
    <w:p w14:paraId="06D40A91" w14:textId="14E0ABB9" w:rsidR="005B3095" w:rsidRPr="00B05A28" w:rsidRDefault="005B3095" w:rsidP="00B05A28">
      <w:pPr>
        <w:pStyle w:val="Body"/>
        <w:spacing w:line="200" w:lineRule="exact"/>
        <w:jc w:val="both"/>
        <w:rPr>
          <w:rStyle w:val="Nmerodepgina"/>
          <w:rFonts w:ascii="Palatino Linotype" w:hAnsi="Palatino Linotype"/>
          <w:sz w:val="18"/>
          <w:szCs w:val="18"/>
          <w:lang w:val="es-ES"/>
        </w:rPr>
      </w:pPr>
      <w:r w:rsidRPr="00B05A28">
        <w:rPr>
          <w:rStyle w:val="Nmerodepgina"/>
          <w:rFonts w:ascii="Palatino Linotype" w:hAnsi="Palatino Linotype"/>
          <w:i/>
          <w:iCs/>
          <w:sz w:val="18"/>
          <w:szCs w:val="18"/>
          <w:vertAlign w:val="superscript"/>
        </w:rPr>
        <w:footnoteRef/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El término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descr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ibe una fascinación por 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depend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ncia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hacia el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O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cidente e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n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detrimento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de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las conexiones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cultura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les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, tradiciona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les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históricas co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n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el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Isl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am y el mundo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Isl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á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mico. Basado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en 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imita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indiscriminada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del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o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ccidente, denota un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sentido de intoxica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que conduce a 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aliena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cultural. Ver: http://www.oxfordislamicstudies.com/article/opr/t125/e2501</w:t>
      </w:r>
    </w:p>
    <w:p w14:paraId="0FA62416" w14:textId="77777777" w:rsidR="005B3095" w:rsidRPr="00B05A28" w:rsidRDefault="005B3095" w:rsidP="00B05A28">
      <w:pPr>
        <w:pStyle w:val="Body"/>
        <w:spacing w:line="200" w:lineRule="exact"/>
        <w:jc w:val="both"/>
        <w:rPr>
          <w:rFonts w:ascii="Palatino Linotype" w:hAnsi="Palatino Linotype"/>
          <w:sz w:val="18"/>
          <w:szCs w:val="18"/>
          <w:lang w:val="es-ES"/>
        </w:rPr>
      </w:pPr>
    </w:p>
  </w:footnote>
  <w:footnote w:id="4">
    <w:p w14:paraId="437EF330" w14:textId="67B76F23" w:rsidR="005B3095" w:rsidRPr="00B05A28" w:rsidRDefault="005B3095" w:rsidP="00B05A28">
      <w:pPr>
        <w:pStyle w:val="Textodenotaderodap"/>
        <w:spacing w:line="200" w:lineRule="exact"/>
        <w:jc w:val="both"/>
        <w:rPr>
          <w:rFonts w:ascii="Palatino Linotype" w:hAnsi="Palatino Linotype"/>
          <w:sz w:val="18"/>
          <w:szCs w:val="18"/>
          <w:lang w:val="es-ES"/>
        </w:rPr>
      </w:pPr>
      <w:r w:rsidRPr="00B05A28">
        <w:rPr>
          <w:rStyle w:val="Nmerodepgina"/>
          <w:rFonts w:ascii="Palatino Linotype" w:hAnsi="Palatino Linotype"/>
          <w:sz w:val="18"/>
          <w:szCs w:val="18"/>
          <w:vertAlign w:val="superscript"/>
        </w:rPr>
        <w:footnoteRef/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CEDAW: Conven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Para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Elimina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de Todas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as Formas de Discrimina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Contra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as Mu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jeres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, 1981; DEVAW: Declara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sobre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 Elimina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de 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Viol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ncia Contra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as Mu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je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res, 1993. Resolu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1325 (2000) recon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oce 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que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as mu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jeres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s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u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fre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n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de forma diferente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os impactos de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guerra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y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reafirm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 nece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sidad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de refor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zar el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 papel d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e l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as mu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j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eres 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en 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tomada de deci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sión con relación a la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preven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y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resolu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 xml:space="preserve">ción 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de confli</w:t>
      </w:r>
      <w:r w:rsidR="00C61496"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c</w:t>
      </w:r>
      <w:r w:rsidRPr="00B05A28">
        <w:rPr>
          <w:rStyle w:val="Nmerodepgina"/>
          <w:rFonts w:ascii="Palatino Linotype" w:hAnsi="Palatino Linotype"/>
          <w:sz w:val="18"/>
          <w:szCs w:val="18"/>
          <w:lang w:val="es-ES"/>
        </w:rPr>
        <w:t>tos.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11FBD"/>
    <w:multiLevelType w:val="hybridMultilevel"/>
    <w:tmpl w:val="759EA2CC"/>
    <w:numStyleLink w:val="ImportedStyle2"/>
  </w:abstractNum>
  <w:abstractNum w:abstractNumId="1" w15:restartNumberingAfterBreak="0">
    <w:nsid w:val="379923E1"/>
    <w:multiLevelType w:val="hybridMultilevel"/>
    <w:tmpl w:val="E5849D76"/>
    <w:lvl w:ilvl="0" w:tplc="5C244A5A">
      <w:numFmt w:val="bullet"/>
      <w:lvlText w:val="–"/>
      <w:lvlJc w:val="left"/>
      <w:pPr>
        <w:ind w:left="420" w:hanging="360"/>
      </w:pPr>
      <w:rPr>
        <w:rFonts w:ascii="Times New Roman" w:eastAsia="Cambria" w:hAnsi="Times New Roman" w:cs="Cambri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3900F1"/>
    <w:multiLevelType w:val="hybridMultilevel"/>
    <w:tmpl w:val="759EA2CC"/>
    <w:styleLink w:val="ImportedStyle2"/>
    <w:lvl w:ilvl="0" w:tplc="FA5A11D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E6B2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5AE0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50BB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218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CED8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CB69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A09E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8C09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810C12"/>
    <w:multiLevelType w:val="hybridMultilevel"/>
    <w:tmpl w:val="958233F6"/>
    <w:styleLink w:val="ImportedStyle1"/>
    <w:lvl w:ilvl="0" w:tplc="BE3CA6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B0D4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0AFA8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324D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62D5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DC39DC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907F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BA5D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E2463E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9731DAF"/>
    <w:multiLevelType w:val="hybridMultilevel"/>
    <w:tmpl w:val="958233F6"/>
    <w:numStyleLink w:val="ImportedStyle1"/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7"/>
    <w:rsid w:val="00002E20"/>
    <w:rsid w:val="0000649E"/>
    <w:rsid w:val="00010249"/>
    <w:rsid w:val="00010BC6"/>
    <w:rsid w:val="00084C9B"/>
    <w:rsid w:val="000B0A7A"/>
    <w:rsid w:val="001077A5"/>
    <w:rsid w:val="001526E8"/>
    <w:rsid w:val="001633E4"/>
    <w:rsid w:val="00181CA1"/>
    <w:rsid w:val="0029055C"/>
    <w:rsid w:val="00296266"/>
    <w:rsid w:val="002B13E3"/>
    <w:rsid w:val="002E6C28"/>
    <w:rsid w:val="002F1CFB"/>
    <w:rsid w:val="00310A07"/>
    <w:rsid w:val="00331595"/>
    <w:rsid w:val="00345560"/>
    <w:rsid w:val="00347BAE"/>
    <w:rsid w:val="0037796A"/>
    <w:rsid w:val="00377D0F"/>
    <w:rsid w:val="003A3917"/>
    <w:rsid w:val="003A5EA2"/>
    <w:rsid w:val="003B4913"/>
    <w:rsid w:val="003B4D2F"/>
    <w:rsid w:val="003B7AE6"/>
    <w:rsid w:val="003C11C0"/>
    <w:rsid w:val="003E0F2C"/>
    <w:rsid w:val="00412E49"/>
    <w:rsid w:val="00414B33"/>
    <w:rsid w:val="00425752"/>
    <w:rsid w:val="00431FAF"/>
    <w:rsid w:val="00477C43"/>
    <w:rsid w:val="00484B5F"/>
    <w:rsid w:val="004A4B31"/>
    <w:rsid w:val="004D261D"/>
    <w:rsid w:val="0052773D"/>
    <w:rsid w:val="005509D5"/>
    <w:rsid w:val="00552416"/>
    <w:rsid w:val="00582E16"/>
    <w:rsid w:val="005A376A"/>
    <w:rsid w:val="005B3095"/>
    <w:rsid w:val="005E219A"/>
    <w:rsid w:val="0062289A"/>
    <w:rsid w:val="00625D33"/>
    <w:rsid w:val="0063735A"/>
    <w:rsid w:val="006919F4"/>
    <w:rsid w:val="006A6B58"/>
    <w:rsid w:val="007140DB"/>
    <w:rsid w:val="00766A3E"/>
    <w:rsid w:val="007B30A6"/>
    <w:rsid w:val="007C3804"/>
    <w:rsid w:val="007D25E4"/>
    <w:rsid w:val="008027E6"/>
    <w:rsid w:val="0082592F"/>
    <w:rsid w:val="008345C2"/>
    <w:rsid w:val="0085782C"/>
    <w:rsid w:val="00867D58"/>
    <w:rsid w:val="00913CC7"/>
    <w:rsid w:val="009319D4"/>
    <w:rsid w:val="00937F8F"/>
    <w:rsid w:val="0094106E"/>
    <w:rsid w:val="009953B4"/>
    <w:rsid w:val="00997C9A"/>
    <w:rsid w:val="009D6C50"/>
    <w:rsid w:val="009E0C40"/>
    <w:rsid w:val="00A269F9"/>
    <w:rsid w:val="00A32304"/>
    <w:rsid w:val="00A36A3C"/>
    <w:rsid w:val="00A418D0"/>
    <w:rsid w:val="00AE5070"/>
    <w:rsid w:val="00B05A28"/>
    <w:rsid w:val="00B11300"/>
    <w:rsid w:val="00B116D1"/>
    <w:rsid w:val="00B16943"/>
    <w:rsid w:val="00B52803"/>
    <w:rsid w:val="00B61B20"/>
    <w:rsid w:val="00B84320"/>
    <w:rsid w:val="00B9111B"/>
    <w:rsid w:val="00BE3DAF"/>
    <w:rsid w:val="00BF4CD5"/>
    <w:rsid w:val="00C218A7"/>
    <w:rsid w:val="00C4237A"/>
    <w:rsid w:val="00C451F6"/>
    <w:rsid w:val="00C57F50"/>
    <w:rsid w:val="00C61496"/>
    <w:rsid w:val="00CB2E8B"/>
    <w:rsid w:val="00CE2D30"/>
    <w:rsid w:val="00CF34A7"/>
    <w:rsid w:val="00D048C1"/>
    <w:rsid w:val="00D04AD0"/>
    <w:rsid w:val="00D121A4"/>
    <w:rsid w:val="00D45493"/>
    <w:rsid w:val="00D55BC0"/>
    <w:rsid w:val="00D81E55"/>
    <w:rsid w:val="00DA053C"/>
    <w:rsid w:val="00DF3699"/>
    <w:rsid w:val="00E10042"/>
    <w:rsid w:val="00E336EB"/>
    <w:rsid w:val="00E73E62"/>
    <w:rsid w:val="00E85222"/>
    <w:rsid w:val="00EA7403"/>
    <w:rsid w:val="00EB04D7"/>
    <w:rsid w:val="00ED6591"/>
    <w:rsid w:val="00EE7A57"/>
    <w:rsid w:val="00F07B3F"/>
    <w:rsid w:val="00F141D6"/>
    <w:rsid w:val="00F32223"/>
    <w:rsid w:val="00F32F6A"/>
    <w:rsid w:val="00F761A0"/>
    <w:rsid w:val="00FA2021"/>
    <w:rsid w:val="00FA58D9"/>
    <w:rsid w:val="00FB77AC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E9D78F"/>
  <w15:docId w15:val="{61FF07F6-F4A1-4B4E-8093-11240129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P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Nmerodepgina">
    <w:name w:val="page number"/>
    <w:rPr>
      <w:lang w:val="pt-PT"/>
    </w:rPr>
  </w:style>
  <w:style w:type="paragraph" w:styleId="Textodenotaderodap">
    <w:name w:val="footnote 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argrafodaList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B04D7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04D7"/>
    <w:rPr>
      <w:rFonts w:ascii="Lucida Grande" w:hAnsi="Lucida Grande"/>
      <w:sz w:val="18"/>
      <w:szCs w:val="18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E507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E507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E5070"/>
    <w:rPr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E507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E5070"/>
    <w:rPr>
      <w:b/>
      <w:bCs/>
      <w:lang w:val="en-US"/>
    </w:rPr>
  </w:style>
  <w:style w:type="table" w:styleId="Tabelacomgrelha">
    <w:name w:val="Table Grid"/>
    <w:basedOn w:val="Tabelanormal"/>
    <w:uiPriority w:val="39"/>
    <w:rsid w:val="007B30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odeletrapredefinidodopargrafo"/>
    <w:rsid w:val="004D261D"/>
  </w:style>
  <w:style w:type="paragraph" w:styleId="Cabealho">
    <w:name w:val="header"/>
    <w:basedOn w:val="Normal"/>
    <w:link w:val="CabealhoCarter"/>
    <w:uiPriority w:val="99"/>
    <w:unhideWhenUsed/>
    <w:rsid w:val="00B05A28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5A2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latindex.org/latindex/ficha?folio=2628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://wokinfo.com/products_tools/multidisciplinary/scielo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bh.nsd.uib.no/publiseringskanaler/erihplus/periodical/info.action?id=482587" TargetMode="External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hyperlink" Target="http://www.scielo.mec.pt/scielo.php?script=sci_serial&amp;pid=0874-5560&amp;lng=pt&amp;nrm=iso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aj.org/toc/2184-0385" TargetMode="External"/><Relationship Id="rId22" Type="http://schemas.openxmlformats.org/officeDocument/2006/relationships/hyperlink" Target="http://alfa.fct.mctes.pt/apoios/facc/estatisticas/%20periodicos_2002_2006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Irel-UnB</Company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Ferreira</dc:creator>
  <cp:lastModifiedBy>...</cp:lastModifiedBy>
  <cp:revision>5</cp:revision>
  <cp:lastPrinted>2019-01-10T17:44:00Z</cp:lastPrinted>
  <dcterms:created xsi:type="dcterms:W3CDTF">2019-01-10T12:04:00Z</dcterms:created>
  <dcterms:modified xsi:type="dcterms:W3CDTF">2019-01-21T15:05:00Z</dcterms:modified>
</cp:coreProperties>
</file>